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single" w:color="000000" w:sz="4" w:space="1"/>
          <w:right w:val="none" w:color="auto" w:sz="0" w:space="0"/>
          <w:between w:val="none" w:color="auto" w:sz="0" w:space="0"/>
        </w:pBdr>
        <w:spacing w:line="240" w:lineRule="auto"/>
        <w:ind w:left="0" w:hanging="2"/>
        <w:jc w:val="both"/>
        <w:rPr>
          <w:color w:val="000000"/>
        </w:rPr>
      </w:pPr>
      <w:r>
        <w:rPr>
          <w:color w:val="000000"/>
        </w:rPr>
        <w:t>JURNAL PARADIGMA</w:t>
      </w:r>
    </w:p>
    <w:p>
      <w:pPr>
        <w:pBdr>
          <w:top w:val="none" w:color="auto" w:sz="0" w:space="0"/>
          <w:left w:val="none" w:color="auto" w:sz="0" w:space="0"/>
          <w:bottom w:val="single" w:color="000000" w:sz="4" w:space="1"/>
          <w:right w:val="none" w:color="auto" w:sz="0" w:space="0"/>
          <w:between w:val="none" w:color="auto" w:sz="0" w:space="0"/>
        </w:pBdr>
        <w:spacing w:line="240" w:lineRule="auto"/>
        <w:ind w:left="0" w:hanging="2"/>
        <w:jc w:val="both"/>
        <w:rPr>
          <w:smallCaps/>
          <w:color w:val="000000"/>
        </w:rPr>
      </w:pPr>
      <w:r>
        <w:rPr>
          <w:smallCaps/>
          <w:color w:val="000000"/>
        </w:rPr>
        <w:t xml:space="preserve">FAKULTAS EKONOMI </w:t>
      </w:r>
    </w:p>
    <w:p>
      <w:pPr>
        <w:pBdr>
          <w:top w:val="none" w:color="auto" w:sz="0" w:space="0"/>
          <w:left w:val="none" w:color="auto" w:sz="0" w:space="0"/>
          <w:bottom w:val="single" w:color="000000" w:sz="4" w:space="1"/>
          <w:right w:val="none" w:color="auto" w:sz="0" w:space="0"/>
          <w:between w:val="none" w:color="auto" w:sz="0" w:space="0"/>
        </w:pBdr>
        <w:spacing w:line="240" w:lineRule="auto"/>
        <w:ind w:left="0" w:hanging="2"/>
        <w:jc w:val="both"/>
        <w:rPr>
          <w:smallCaps/>
          <w:color w:val="000000"/>
        </w:rPr>
      </w:pPr>
      <w:r>
        <w:rPr>
          <w:smallCaps/>
          <w:color w:val="000000"/>
        </w:rPr>
        <w:t>UNIVERSITAS ISLAM BATIK SURAKARTA</w:t>
      </w:r>
    </w:p>
    <w:p>
      <w:pPr>
        <w:pBdr>
          <w:top w:val="none" w:color="auto" w:sz="0" w:space="0"/>
          <w:left w:val="none" w:color="auto" w:sz="0" w:space="0"/>
          <w:bottom w:val="none" w:color="auto" w:sz="0" w:space="0"/>
          <w:right w:val="none" w:color="auto" w:sz="0" w:space="0"/>
          <w:between w:val="none" w:color="auto" w:sz="0" w:space="0"/>
        </w:pBdr>
        <w:tabs>
          <w:tab w:val="left" w:pos="1843"/>
        </w:tabs>
        <w:spacing w:line="240" w:lineRule="auto"/>
        <w:ind w:left="0" w:hanging="2"/>
        <w:jc w:val="center"/>
        <w:rPr>
          <w:color w:val="000000"/>
          <w:sz w:val="22"/>
          <w:szCs w:val="22"/>
        </w:rPr>
      </w:pPr>
    </w:p>
    <w:p>
      <w:pPr>
        <w:pBdr>
          <w:top w:val="none" w:color="auto" w:sz="0" w:space="0"/>
          <w:left w:val="none" w:color="auto" w:sz="0" w:space="0"/>
          <w:bottom w:val="none" w:color="000000" w:sz="0" w:space="0"/>
          <w:right w:val="none" w:color="auto" w:sz="0" w:space="0"/>
          <w:between w:val="none" w:color="auto" w:sz="0" w:space="0"/>
        </w:pBdr>
        <w:spacing w:line="240" w:lineRule="auto"/>
        <w:ind w:left="0" w:hanging="2"/>
        <w:jc w:val="center"/>
        <w:rPr>
          <w:b/>
        </w:rPr>
      </w:pPr>
      <w:r>
        <w:rPr>
          <w:b/>
          <w:lang w:val="en-US"/>
        </w:rPr>
        <w:t xml:space="preserve">KINERJA PEGAWAI DITINJAU DARI KEPEMIMPINAN, BUDAYA KERJA DAN LINGKUNGAN KERJA DI KANTOR UPT METROLOGI LEGAL </w:t>
      </w:r>
    </w:p>
    <w:p>
      <w:pPr>
        <w:pBdr>
          <w:top w:val="none" w:color="auto" w:sz="0" w:space="0"/>
          <w:left w:val="none" w:color="auto" w:sz="0" w:space="0"/>
          <w:bottom w:val="none" w:color="000000" w:sz="0" w:space="0"/>
          <w:right w:val="none" w:color="auto" w:sz="0" w:space="0"/>
          <w:between w:val="none" w:color="auto" w:sz="0" w:space="0"/>
        </w:pBdr>
        <w:spacing w:line="240" w:lineRule="auto"/>
        <w:ind w:left="0" w:hanging="2"/>
        <w:jc w:val="center"/>
        <w:rPr>
          <w:b/>
          <w:color w:val="000000"/>
        </w:rPr>
      </w:pPr>
      <w:r>
        <w:rPr>
          <w:b/>
          <w:lang w:val="en-US"/>
        </w:rPr>
        <w:t>DINAS PERDAGANGAN KOTA SURAKA</w:t>
      </w:r>
      <w:r>
        <w:rPr>
          <w:b/>
        </w:rPr>
        <w:t>R</w:t>
      </w:r>
      <w:r>
        <w:rPr>
          <w:b/>
          <w:lang w:val="en-US"/>
        </w:rPr>
        <w:t>TA</w:t>
      </w:r>
    </w:p>
    <w:p>
      <w:pPr>
        <w:ind w:left="0" w:hanging="2"/>
      </w:pPr>
    </w:p>
    <w:p>
      <w:pPr>
        <w:ind w:left="0" w:hanging="2"/>
        <w:jc w:val="center"/>
        <w:rPr>
          <w:rFonts w:hint="default"/>
          <w:lang w:val="id-ID"/>
        </w:rPr>
      </w:pPr>
      <w:r>
        <w:rPr>
          <w:b/>
        </w:rPr>
        <w:t>Tina Meilinda</w:t>
      </w:r>
      <w:r>
        <w:rPr>
          <w:b/>
          <w:lang w:val="en-US"/>
        </w:rPr>
        <w:t>,</w:t>
      </w:r>
      <w:r>
        <w:rPr>
          <w:b/>
          <w:vertAlign w:val="superscript"/>
          <w:lang w:val="en-US"/>
        </w:rPr>
        <w:t xml:space="preserve"> </w:t>
      </w:r>
      <w:r>
        <w:rPr>
          <w:b/>
          <w:lang w:val="en-US"/>
        </w:rPr>
        <w:t>Ida Aryati</w:t>
      </w:r>
      <w:r>
        <w:rPr>
          <w:b/>
          <w:vertAlign w:val="superscript"/>
          <w:lang w:val="en-US"/>
        </w:rPr>
        <w:t>,</w:t>
      </w:r>
      <w:r>
        <w:rPr>
          <w:b/>
          <w:lang w:val="en-US"/>
        </w:rPr>
        <w:t>, Rochmi Widayanti</w:t>
      </w:r>
      <w:r>
        <w:rPr>
          <w:rFonts w:hint="default"/>
          <w:b/>
          <w:lang w:val="id-ID"/>
        </w:rPr>
        <w:t xml:space="preserve">, </w:t>
      </w:r>
      <w:r>
        <w:rPr>
          <w:b/>
        </w:rPr>
        <w:t>Fithri Setya Marwati</w:t>
      </w:r>
    </w:p>
    <w:p>
      <w:pPr>
        <w:ind w:left="0" w:hanging="2"/>
        <w:jc w:val="center"/>
      </w:pPr>
      <w:r>
        <w:t>Fakultas Ekonomi, Universitas Islam Batik Surakarta</w:t>
      </w:r>
    </w:p>
    <w:p>
      <w:pPr>
        <w:ind w:left="0" w:hanging="2"/>
        <w:jc w:val="center"/>
        <w:rPr>
          <w:color w:val="0000FF"/>
          <w:u w:val="single"/>
        </w:rPr>
      </w:pPr>
      <w:r>
        <w:t>Email</w:t>
      </w:r>
      <w:r>
        <w:rPr>
          <w:color w:val="000000"/>
        </w:rPr>
        <w:t xml:space="preserve">: </w:t>
      </w:r>
      <w:r>
        <w:rPr>
          <w:lang w:val="en-US"/>
        </w:rPr>
        <w:t>tinameilinda5@gmail.com</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both"/>
        <w:rPr>
          <w:b/>
          <w:color w:val="000000"/>
        </w:rPr>
      </w:pP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b/>
          <w:color w:val="000000"/>
        </w:rPr>
      </w:pPr>
      <w:r>
        <w:rPr>
          <w:b/>
          <w:color w:val="000000"/>
        </w:rPr>
        <w:t xml:space="preserve">Abstrak </w:t>
      </w:r>
    </w:p>
    <w:p>
      <w:pPr>
        <w:ind w:left="0" w:hanging="2"/>
        <w:jc w:val="both"/>
        <w:rPr>
          <w:rFonts w:hint="default"/>
        </w:rPr>
      </w:pPr>
      <w:r>
        <w:rPr>
          <w:rFonts w:hint="default"/>
        </w:rPr>
        <w:t>Untuk menilai kinerja pegawai pada Upt Metrologi Legal Dinas Perdagangan Kota Surakarta, penelitian ini akan melihat kepemimpinan, lingkungan kerja, dan budaya.</w:t>
      </w:r>
    </w:p>
    <w:p>
      <w:pPr>
        <w:ind w:left="0" w:hanging="2"/>
        <w:jc w:val="both"/>
        <w:rPr>
          <w:rFonts w:hint="default"/>
        </w:rPr>
      </w:pPr>
      <w:r>
        <w:rPr>
          <w:rFonts w:hint="default"/>
        </w:rPr>
        <w:t>Penelitian eksplanatori dengan menggunakan metodologi kuantitatif merupakan metode yang digunakan. Seluruh anggota populasi yang berjumlah 50 orang dijadikan responden dengan teknik pengambilan sampel penelitian yang disebut dengan sampel jenuh, dan pengambilan sampelnya menggunakan bantuan SPSS dengan teknik analisis data seperti uji validitas, uji reliabilitas, uji normalitas, uji multikolinearitas, uji heteroskedastisitas, uji regresi. linier berganda, uji t, dan uji koefisien determinasi.</w:t>
      </w:r>
    </w:p>
    <w:p>
      <w:pPr>
        <w:ind w:left="0" w:hanging="2"/>
        <w:jc w:val="both"/>
        <w:rPr>
          <w:rFonts w:hint="default"/>
          <w:lang w:val="id-ID"/>
        </w:rPr>
      </w:pPr>
      <w:r>
        <w:rPr>
          <w:rFonts w:hint="default"/>
        </w:rPr>
        <w:t>Berdasarkan temuan penelitian, dapat disimpulkan bahwa kepemimpinan, budaya tempat kerja, dan lingkungan semuanya bekerja sama mempengaruhi kinerja karyawan</w:t>
      </w:r>
      <w:r>
        <w:rPr>
          <w:rFonts w:hint="default"/>
          <w:lang w:val="id-ID"/>
        </w:rPr>
        <w:t>.</w:t>
      </w:r>
    </w:p>
    <w:p>
      <w:pPr>
        <w:ind w:left="0" w:hanging="2"/>
        <w:jc w:val="both"/>
      </w:pPr>
    </w:p>
    <w:p>
      <w:pPr>
        <w:ind w:left="0" w:hanging="2"/>
        <w:jc w:val="both"/>
      </w:pPr>
      <w:r>
        <w:rPr>
          <w:b/>
        </w:rPr>
        <w:t>Kata kunci</w:t>
      </w:r>
      <w:r>
        <w:t>:</w:t>
      </w:r>
      <w:r>
        <w:rPr>
          <w:rFonts w:hint="default"/>
          <w:lang w:val="id-ID"/>
        </w:rPr>
        <w:t xml:space="preserve"> kepemimpinan, budaya kerja, dan lingkungan kerja</w:t>
      </w:r>
      <w:r>
        <w:t xml:space="preserve"> </w:t>
      </w:r>
      <w:bookmarkStart w:id="0" w:name="_GoBack"/>
      <w:bookmarkEnd w:id="0"/>
    </w:p>
    <w:p>
      <w:pPr>
        <w:ind w:left="0" w:hanging="2"/>
        <w:jc w:val="both"/>
      </w:pP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both"/>
        <w:rPr>
          <w:b/>
          <w:color w:val="000000"/>
        </w:rPr>
      </w:pPr>
      <w:r>
        <w:rPr>
          <w:b/>
          <w:i/>
          <w:color w:val="000000"/>
        </w:rPr>
        <w:t xml:space="preserve">Abstract </w:t>
      </w:r>
    </w:p>
    <w:p>
      <w:pPr>
        <w:pStyle w:val="18"/>
        <w:ind w:hanging="2"/>
        <w:jc w:val="both"/>
        <w:rPr>
          <w:rStyle w:val="53"/>
          <w:rFonts w:asciiTheme="majorBidi" w:hAnsiTheme="majorBidi" w:cstheme="majorBidi"/>
          <w:i/>
          <w:sz w:val="24"/>
          <w:szCs w:val="24"/>
          <w:lang w:val="id-ID"/>
        </w:rPr>
      </w:pPr>
      <w:r>
        <w:rPr>
          <w:rStyle w:val="53"/>
          <w:rFonts w:asciiTheme="majorBidi" w:hAnsiTheme="majorBidi" w:cstheme="majorBidi"/>
          <w:i/>
          <w:sz w:val="24"/>
          <w:szCs w:val="24"/>
          <w:lang w:val="id-ID"/>
        </w:rPr>
        <w:t>In order to assess employee performance at the Upt Legal Metrology Department of Trade in Surakarta City, this study will look at leadership, work environment, and culture.</w:t>
      </w:r>
    </w:p>
    <w:p>
      <w:pPr>
        <w:pStyle w:val="18"/>
        <w:ind w:hanging="2"/>
        <w:jc w:val="both"/>
        <w:rPr>
          <w:rStyle w:val="53"/>
          <w:rFonts w:asciiTheme="majorBidi" w:hAnsiTheme="majorBidi" w:cstheme="majorBidi"/>
          <w:i/>
          <w:sz w:val="24"/>
          <w:szCs w:val="24"/>
          <w:lang w:val="id-ID"/>
        </w:rPr>
      </w:pPr>
      <w:r>
        <w:rPr>
          <w:rStyle w:val="53"/>
          <w:rFonts w:asciiTheme="majorBidi" w:hAnsiTheme="majorBidi" w:cstheme="majorBidi"/>
          <w:i/>
          <w:sz w:val="24"/>
          <w:szCs w:val="24"/>
          <w:lang w:val="id-ID"/>
        </w:rPr>
        <w:t>Explanatory study using a quantitative methodology is the method used. All of the population's 50 members were used as respondents in the research sampling technique known as a saturated sample, and the samples used SPSS assistance with data analysis techniques such as validity tests, reliability tests, normality tests, multicollinearity tests, heteroscedasticity tests, regression tests multiple linear, t tests, and test the coefficient of determination.</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both"/>
        <w:rPr>
          <w:rFonts w:asciiTheme="majorBidi" w:hAnsiTheme="majorBidi" w:cstheme="majorBidi"/>
          <w:i/>
          <w:color w:val="000000"/>
        </w:rPr>
      </w:pPr>
      <w:r>
        <w:rPr>
          <w:rStyle w:val="53"/>
          <w:rFonts w:asciiTheme="majorBidi" w:hAnsiTheme="majorBidi" w:cstheme="majorBidi"/>
          <w:i/>
        </w:rPr>
        <w:t>Based on the study's findings, it can be inferred that leadership, workplace culture, and environment all work together to affect employe</w:t>
      </w:r>
      <w:r>
        <w:rPr>
          <w:rStyle w:val="53"/>
          <w:rFonts w:asciiTheme="majorBidi" w:hAnsiTheme="majorBidi" w:cstheme="majorBidi"/>
          <w:i/>
          <w:color w:val="FFFFFF"/>
        </w:rPr>
        <w:t>i</w:t>
      </w:r>
      <w:r>
        <w:rPr>
          <w:rStyle w:val="53"/>
          <w:rFonts w:asciiTheme="majorBidi" w:hAnsiTheme="majorBidi" w:cstheme="majorBidi"/>
          <w:i/>
        </w:rPr>
        <w:t>performance.</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both"/>
        <w:rPr>
          <w:i/>
          <w:color w:val="000000"/>
        </w:rPr>
      </w:pP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color w:val="000000"/>
        </w:rPr>
      </w:pPr>
      <w:r>
        <w:rPr>
          <w:b/>
          <w:i/>
          <w:color w:val="000000"/>
        </w:rPr>
        <w:t xml:space="preserve">Keywords: </w:t>
      </w:r>
      <w:r>
        <w:rPr>
          <w:rStyle w:val="53"/>
          <w:i/>
        </w:rPr>
        <w:t>leadership, work culture</w:t>
      </w:r>
      <w:r>
        <w:rPr>
          <w:i/>
        </w:rPr>
        <w:t xml:space="preserve">, and </w:t>
      </w:r>
      <w:r>
        <w:rPr>
          <w:rStyle w:val="53"/>
          <w:i/>
        </w:rPr>
        <w:t>work</w:t>
      </w:r>
      <w:r>
        <w:rPr>
          <w:rStyle w:val="53"/>
          <w:i/>
          <w:color w:val="FFFFFF"/>
        </w:rPr>
        <w:t>i</w:t>
      </w:r>
      <w:r>
        <w:rPr>
          <w:rStyle w:val="53"/>
          <w:i/>
        </w:rPr>
        <w:t>environment</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color w:val="000000"/>
        </w:rPr>
      </w:pP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rPr>
          <w:b/>
          <w:color w:val="000000"/>
        </w:rPr>
        <w:t>Pendahuluan</w:t>
      </w:r>
      <w:r>
        <w:rPr>
          <w:color w:val="000000"/>
        </w:rPr>
        <w:t xml:space="preserve"> </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rPr>
          <w:color w:val="000000"/>
        </w:rPr>
        <w:t xml:space="preserve">Pendahuluan harus berisi </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rFonts w:eastAsia="Calibri"/>
        </w:rPr>
      </w:pPr>
      <w:r>
        <w:rPr>
          <w:rFonts w:eastAsia="Calibri"/>
        </w:rPr>
        <w:t>Kinerja merupakan hal yang krusial bagi suatu organisasi atau bisnis untuk maju, dan semakin baik kinerja seorang karyawan maka akan semakin mudah bagi organisasi untuk mencapai tujuannya (Kusjono &amp; Ratnasari, 2019). Menurut (Arifin et al., 2019).</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rPr>
          <w:rFonts w:eastAsia="Calibri"/>
        </w:rPr>
        <w:t>Kinerja</w:t>
      </w:r>
      <w:r>
        <w:rPr>
          <w:rFonts w:eastAsia="Calibri"/>
          <w:color w:val="FFFFFF"/>
        </w:rPr>
        <w:t>i</w:t>
      </w:r>
      <w:r>
        <w:rPr>
          <w:rFonts w:eastAsia="Calibri"/>
        </w:rPr>
        <w:t>pegawai</w:t>
      </w:r>
      <w:r>
        <w:rPr>
          <w:rFonts w:eastAsia="Calibri"/>
          <w:color w:val="FFFFFF"/>
        </w:rPr>
        <w:t>i</w:t>
      </w:r>
      <w:r>
        <w:rPr>
          <w:rFonts w:eastAsia="Calibri"/>
        </w:rPr>
        <w:t>adalah</w:t>
      </w:r>
      <w:r>
        <w:rPr>
          <w:rFonts w:eastAsia="Calibri"/>
          <w:color w:val="FFFFFF"/>
        </w:rPr>
        <w:t>i</w:t>
      </w:r>
      <w:r>
        <w:rPr>
          <w:rFonts w:eastAsia="Calibri"/>
        </w:rPr>
        <w:t>hasil</w:t>
      </w:r>
      <w:r>
        <w:rPr>
          <w:rFonts w:eastAsia="Calibri"/>
          <w:color w:val="FFFFFF"/>
        </w:rPr>
        <w:t>i</w:t>
      </w:r>
      <w:r>
        <w:rPr>
          <w:rFonts w:eastAsia="Calibri"/>
        </w:rPr>
        <w:t>pekerjaan</w:t>
      </w:r>
      <w:r>
        <w:rPr>
          <w:rFonts w:eastAsia="Calibri"/>
          <w:color w:val="FFFFFF"/>
        </w:rPr>
        <w:t>i</w:t>
      </w:r>
      <w:r>
        <w:rPr>
          <w:rFonts w:eastAsia="Calibri"/>
        </w:rPr>
        <w:t>yang</w:t>
      </w:r>
      <w:r>
        <w:rPr>
          <w:rFonts w:eastAsia="Calibri"/>
          <w:color w:val="FFFFFF"/>
        </w:rPr>
        <w:t>i</w:t>
      </w:r>
      <w:r>
        <w:rPr>
          <w:rFonts w:eastAsia="Calibri"/>
        </w:rPr>
        <w:t>diselesaikan</w:t>
      </w:r>
      <w:r>
        <w:rPr>
          <w:rFonts w:eastAsia="Calibri"/>
          <w:color w:val="FFFFFF"/>
        </w:rPr>
        <w:t>i</w:t>
      </w:r>
      <w:r>
        <w:rPr>
          <w:rFonts w:eastAsia="Calibri"/>
        </w:rPr>
        <w:t>oleh</w:t>
      </w:r>
      <w:r>
        <w:rPr>
          <w:rFonts w:eastAsia="Calibri"/>
          <w:color w:val="FFFFFF"/>
        </w:rPr>
        <w:t>i</w:t>
      </w:r>
      <w:r>
        <w:rPr>
          <w:rFonts w:eastAsia="Calibri"/>
        </w:rPr>
        <w:t>sekelompok</w:t>
      </w:r>
      <w:r>
        <w:rPr>
          <w:rFonts w:eastAsia="Calibri"/>
          <w:color w:val="FFFFFF"/>
        </w:rPr>
        <w:t>i</w:t>
      </w:r>
      <w:r>
        <w:rPr>
          <w:rFonts w:eastAsia="Calibri"/>
        </w:rPr>
        <w:t>pegawai</w:t>
      </w:r>
      <w:r>
        <w:rPr>
          <w:rFonts w:eastAsia="Calibri"/>
          <w:color w:val="FFFFFF"/>
        </w:rPr>
        <w:t>i</w:t>
      </w:r>
      <w:r>
        <w:rPr>
          <w:rFonts w:eastAsia="Calibri"/>
        </w:rPr>
        <w:t>sesuai</w:t>
      </w:r>
      <w:r>
        <w:rPr>
          <w:rFonts w:eastAsia="Calibri"/>
          <w:color w:val="FFFFFF"/>
        </w:rPr>
        <w:t>i</w:t>
      </w:r>
      <w:r>
        <w:rPr>
          <w:rFonts w:eastAsia="Calibri"/>
        </w:rPr>
        <w:t>dengan</w:t>
      </w:r>
      <w:r>
        <w:rPr>
          <w:rFonts w:eastAsia="Calibri"/>
          <w:color w:val="FFFFFF"/>
        </w:rPr>
        <w:t>i</w:t>
      </w:r>
      <w:r>
        <w:rPr>
          <w:rFonts w:eastAsia="Calibri"/>
        </w:rPr>
        <w:t>tanggung</w:t>
      </w:r>
      <w:r>
        <w:rPr>
          <w:rFonts w:eastAsia="Calibri"/>
          <w:color w:val="FFFFFF"/>
        </w:rPr>
        <w:t>i</w:t>
      </w:r>
      <w:r>
        <w:rPr>
          <w:rFonts w:eastAsia="Calibri"/>
        </w:rPr>
        <w:t>jawab</w:t>
      </w:r>
      <w:r>
        <w:rPr>
          <w:rFonts w:eastAsia="Calibri"/>
          <w:color w:val="FFFFFF"/>
        </w:rPr>
        <w:t>i</w:t>
      </w:r>
      <w:r>
        <w:rPr>
          <w:rFonts w:eastAsia="Calibri"/>
        </w:rPr>
        <w:t>dan</w:t>
      </w:r>
      <w:r>
        <w:rPr>
          <w:rFonts w:eastAsia="Calibri"/>
          <w:color w:val="FFFFFF"/>
        </w:rPr>
        <w:t>i</w:t>
      </w:r>
      <w:r>
        <w:rPr>
          <w:rFonts w:eastAsia="Calibri"/>
        </w:rPr>
        <w:t>kewajiban</w:t>
      </w:r>
      <w:r>
        <w:rPr>
          <w:rFonts w:eastAsia="Calibri"/>
          <w:color w:val="FFFFFF"/>
        </w:rPr>
        <w:t>i</w:t>
      </w:r>
      <w:r>
        <w:rPr>
          <w:rFonts w:eastAsia="Calibri"/>
        </w:rPr>
        <w:t>yang</w:t>
      </w:r>
      <w:r>
        <w:rPr>
          <w:rFonts w:eastAsia="Calibri"/>
          <w:color w:val="FFFFFF"/>
        </w:rPr>
        <w:t>i</w:t>
      </w:r>
      <w:r>
        <w:rPr>
          <w:rFonts w:eastAsia="Calibri"/>
        </w:rPr>
        <w:t>dilimpahkan</w:t>
      </w:r>
      <w:r>
        <w:rPr>
          <w:rFonts w:eastAsia="Calibri"/>
          <w:color w:val="FFFFFF"/>
        </w:rPr>
        <w:t>i</w:t>
      </w:r>
      <w:r>
        <w:rPr>
          <w:rFonts w:eastAsia="Calibri"/>
        </w:rPr>
        <w:t>kepadanya.</w:t>
      </w:r>
      <w:r>
        <w:t xml:space="preserve">Menurut </w:t>
      </w:r>
      <w:r>
        <w:rPr>
          <w:rStyle w:val="15"/>
        </w:rPr>
        <w:fldChar w:fldCharType="begin"/>
      </w:r>
      <w:r>
        <w:instrText xml:space="preserve">ADDIN CSL_CITATION {"citationItems":[{"id":"ITEM-1","itemData":{"ISSN":"2302-6200","author":[{"dropping-particle":"","family":"Aryanata","given":"Yuzril Hanafi","non-dropping-particle":"","parse-names":false,"suffix":""},{"dropping-particle":"","family":"Nurhidayah","given":"Nurhidayah","non-dropping-particle":"","parse-names":false,"suffix":""},{"dropping-particle":"","family":"Dianawati","given":"Eris","non-dropping-particle":"","parse-names":false,"suffix":""}],"container-title":"E-JRM: Elektronik Jurnal Riset Manajemen","id":"ITEM-1","issue":"01","issued":{"date-parts":[["2022"]]},"title":"Pengaruh Kedisiplinan, Motivasi Kerja Dan Lingkungan Kerja Terhadap Kinerja Karyawan (Studi Kasus Pada Flora Wisata Santerra De Laponte)","type":"article-journal","volume":"12"},"uris":["http://www.mendeley.com/documents/?uuid=4545d7f0-e2cd-4049-a32b-60827cf95f6e"]}],"mendeley":{"formattedCitation":"(Aryanata et al., 2022)","plainTextFormattedCitation":"(Aryanata et al., 2022)","previouslyFormattedCitation":"(Aryanata et al., 2022)"},"properties":{"noteIndex":0},"schema":"https://github.com/citation-style-language/schema/raw/master/csl-citation.json"}</w:instrText>
      </w:r>
      <w:r>
        <w:rPr>
          <w:rStyle w:val="15"/>
        </w:rPr>
        <w:fldChar w:fldCharType="separate"/>
      </w:r>
      <w:r>
        <w:rPr>
          <w:bCs/>
        </w:rPr>
        <w:t>(Aryanata et al., 2022)</w:t>
      </w:r>
      <w:r>
        <w:rPr>
          <w:rStyle w:val="15"/>
        </w:rPr>
        <w:fldChar w:fldCharType="end"/>
      </w:r>
      <w:r>
        <w:t xml:space="preserve"> Kinerja adalah hasil kerja yang dapat diselesaikan oleh seseorang atau sekelompok orang dalam suatu usaha sesuai dengan wewenang dan tanggung jawab masing-masing orang dalam upaya mencapai tujuan organisasi dengan cara yang halal, benar secara</w:t>
      </w:r>
      <w:r>
        <w:rPr>
          <w:color w:val="FFFFFF"/>
        </w:rPr>
        <w:t>i</w:t>
      </w:r>
      <w:r>
        <w:t xml:space="preserve">moral, dan etis.  </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Menurut</w:t>
      </w:r>
      <w:r>
        <w:rPr>
          <w:color w:val="FFFFFF"/>
        </w:rPr>
        <w:t>i</w:t>
      </w:r>
      <w:r>
        <w:rPr>
          <w:rStyle w:val="15"/>
        </w:rPr>
        <w:fldChar w:fldCharType="begin"/>
      </w:r>
      <w:r>
        <w:rPr>
          <w:rFonts w:eastAsia="Calibri"/>
        </w:rPr>
        <w:instrText xml:space="preserve">ADDIN CSL_CITATION {"citationItems":[{"id":"ITEM-1","itemData":{"ISSN":"2580-9695","author":[{"dropping-particle":"","family":"Hadi","given":"Sofyan","non-dropping-particle":"","parse-names":false,"suffix":""},{"dropping-particle":"","family":"Abdurrahman","given":"Akhmad","non-dropping-particle":"","parse-names":false,"suffix":""}],"container-title":"Administraus","id":"ITEM-1","issue":"3","issued":{"date-parts":[["2019"]]},"page":"57-92","title":"Pengaruh Sarana Kerja Dan Kemampuan Terhadap Kinerja Aparatur Kelurahan Landasan Ulin Selatan Kota Banjarbaru","type":"article-journal","volume":"3"},"uris":["http://www.mendeley.com/documents/?uuid=2f398a8e-3fc4-40a4-80ff-6190a1fdb3fa"]}],"mendeley":{"formattedCitation":"(Hadi &amp; Abdurrahman, 2019)","plainTextFormattedCitation":"(Hadi &amp; Abdurrahman, 2019)","previouslyFormattedCitation":"(Hadi &amp; Abdurrahman, 2019)"},"properties":{"noteIndex":0},"schema":"https://github.com/citation-style-language/schema/raw/master/csl-citation.json"}</w:instrText>
      </w:r>
      <w:r>
        <w:rPr>
          <w:rStyle w:val="15"/>
        </w:rPr>
        <w:fldChar w:fldCharType="separate"/>
      </w:r>
      <w:r>
        <w:rPr>
          <w:rFonts w:eastAsia="Calibri"/>
          <w:bCs/>
        </w:rPr>
        <w:t>(Hadi</w:t>
      </w:r>
      <w:r>
        <w:rPr>
          <w:rFonts w:eastAsia="Calibri"/>
          <w:bCs/>
          <w:color w:val="FFFFFF"/>
        </w:rPr>
        <w:t>i</w:t>
      </w:r>
      <w:r>
        <w:rPr>
          <w:rFonts w:eastAsia="Calibri"/>
          <w:bCs/>
        </w:rPr>
        <w:t>&amp;</w:t>
      </w:r>
      <w:r>
        <w:rPr>
          <w:rFonts w:eastAsia="Calibri"/>
          <w:bCs/>
          <w:color w:val="FFFFFF"/>
        </w:rPr>
        <w:t>i</w:t>
      </w:r>
      <w:r>
        <w:rPr>
          <w:rFonts w:eastAsia="Calibri"/>
          <w:bCs/>
        </w:rPr>
        <w:t>Abdurrahman,</w:t>
      </w:r>
      <w:r>
        <w:rPr>
          <w:rFonts w:eastAsia="Calibri"/>
          <w:bCs/>
          <w:color w:val="FFFFFF"/>
        </w:rPr>
        <w:t>i</w:t>
      </w:r>
      <w:r>
        <w:rPr>
          <w:rFonts w:eastAsia="Calibri"/>
          <w:bCs/>
        </w:rPr>
        <w:t>2019)</w:t>
      </w:r>
      <w:r>
        <w:rPr>
          <w:rStyle w:val="15"/>
        </w:rPr>
        <w:fldChar w:fldCharType="end"/>
      </w:r>
      <w:r>
        <w:t xml:space="preserve"> </w:t>
      </w:r>
      <w:r>
        <w:rPr>
          <w:rFonts w:eastAsia="Calibri"/>
        </w:rPr>
        <w:t>kinerja adalah hasil kerja yang dicapai seseorang dalam</w:t>
      </w:r>
      <w:r>
        <w:rPr>
          <w:rFonts w:eastAsia="Calibri"/>
          <w:color w:val="FFFFFF"/>
        </w:rPr>
        <w:t>i</w:t>
      </w:r>
      <w:r>
        <w:rPr>
          <w:rFonts w:eastAsia="Calibri"/>
        </w:rPr>
        <w:t>melaksanakan</w:t>
      </w:r>
      <w:r>
        <w:rPr>
          <w:rFonts w:eastAsia="Calibri"/>
          <w:color w:val="FFFFFF"/>
        </w:rPr>
        <w:t>i</w:t>
      </w:r>
      <w:r>
        <w:rPr>
          <w:rFonts w:eastAsia="Calibri"/>
        </w:rPr>
        <w:t>tugasnya</w:t>
      </w:r>
      <w:r>
        <w:rPr>
          <w:rFonts w:eastAsia="Calibri"/>
          <w:color w:val="FFFFFF"/>
        </w:rPr>
        <w:t>i</w:t>
      </w:r>
      <w:r>
        <w:rPr>
          <w:rFonts w:eastAsia="Calibri"/>
        </w:rPr>
        <w:t>atas</w:t>
      </w:r>
      <w:r>
        <w:rPr>
          <w:rFonts w:eastAsia="Calibri"/>
          <w:color w:val="FFFFFF"/>
        </w:rPr>
        <w:t>i</w:t>
      </w:r>
      <w:r>
        <w:rPr>
          <w:rFonts w:eastAsia="Calibri"/>
        </w:rPr>
        <w:t>kecakapan, Usaha</w:t>
      </w:r>
      <w:r>
        <w:rPr>
          <w:rFonts w:eastAsia="Calibri"/>
          <w:color w:val="FFFFFF"/>
        </w:rPr>
        <w:t>i</w:t>
      </w:r>
      <w:r>
        <w:rPr>
          <w:rFonts w:eastAsia="Calibri"/>
        </w:rPr>
        <w:t>dan kesempatan. Pemimpin, pengikut, dan situasi adalah tiga komponen yang membentuk fenomena kepemimpinan yang rumit. Sebaliknya, Ricky dan Ronald (Wijono, 2018) menegaskan bahwa kepemimpinan adalah proses menginspirasi bawahan atau pengikut agar berkeinginan untuk</w:t>
      </w:r>
      <w:r>
        <w:rPr>
          <w:rFonts w:eastAsia="Calibri"/>
          <w:color w:val="FFFFFF"/>
        </w:rPr>
        <w:t>i</w:t>
      </w:r>
      <w:r>
        <w:rPr>
          <w:rFonts w:eastAsia="Calibri"/>
        </w:rPr>
        <w:t>melakukan</w:t>
      </w:r>
      <w:r>
        <w:rPr>
          <w:rFonts w:eastAsia="Calibri"/>
          <w:color w:val="FFFFFF"/>
        </w:rPr>
        <w:t>i</w:t>
      </w:r>
      <w:r>
        <w:rPr>
          <w:rFonts w:eastAsia="Calibri"/>
        </w:rPr>
        <w:t>upaya</w:t>
      </w:r>
      <w:r>
        <w:rPr>
          <w:rFonts w:eastAsia="Calibri"/>
          <w:color w:val="FFFFFF"/>
        </w:rPr>
        <w:t>i</w:t>
      </w:r>
      <w:r>
        <w:rPr>
          <w:rFonts w:eastAsia="Calibri"/>
        </w:rPr>
        <w:t>yang</w:t>
      </w:r>
      <w:r>
        <w:rPr>
          <w:rFonts w:eastAsia="Calibri"/>
          <w:color w:val="FFFFFF"/>
        </w:rPr>
        <w:t>i</w:t>
      </w:r>
      <w:r>
        <w:rPr>
          <w:rFonts w:eastAsia="Calibri"/>
        </w:rPr>
        <w:t>diperlukan untuk</w:t>
      </w:r>
      <w:r>
        <w:rPr>
          <w:rFonts w:eastAsia="Calibri"/>
          <w:color w:val="FFFFFF"/>
        </w:rPr>
        <w:t>i</w:t>
      </w:r>
      <w:r>
        <w:rPr>
          <w:rFonts w:eastAsia="Calibri"/>
        </w:rPr>
        <w:t>mencapai</w:t>
      </w:r>
      <w:r>
        <w:rPr>
          <w:rFonts w:eastAsia="Calibri"/>
          <w:color w:val="FFFFFF"/>
        </w:rPr>
        <w:t>i</w:t>
      </w:r>
      <w:r>
        <w:rPr>
          <w:rFonts w:eastAsia="Calibri"/>
        </w:rPr>
        <w:t>tujuan</w:t>
      </w:r>
      <w:r>
        <w:t>.</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rPr>
          <w:rFonts w:eastAsia="Calibri"/>
        </w:rPr>
        <w:t xml:space="preserve">Menurut </w:t>
      </w:r>
      <w:r>
        <w:rPr>
          <w:rStyle w:val="15"/>
          <w:rFonts w:eastAsia="Calibri"/>
        </w:rPr>
        <w:fldChar w:fldCharType="begin"/>
      </w:r>
      <w:r>
        <w:rPr>
          <w:rFonts w:eastAsia="Calibri"/>
        </w:rPr>
        <w:instrText xml:space="preserve">ADDIN CSL_CITATION {"citationItems":[{"id":"ITEM-1","itemData":{"ISSN":"2723-1690","author":[{"dropping-particle":"","family":"Ruliyansa","given":"Ruliyansa","non-dropping-particle":"","parse-names":false,"suffix":""}],"container-title":"Jurnal AKTUAL","id":"ITEM-1","issue":"2","issued":{"date-parts":[["2018"]]},"page":"82-91","title":"PENGARUH BUDAYA KERJA TERHADAP DISIPLIN KERJA PEGAWAI PADA KOPERASI ANUGERAH KITO MAKMUR JAYA (AKMJ) BELITANG OKU TIMUR","type":"article-journal","volume":"16"},"uris":["http://www.mendeley.com/documents/?uuid=7765c4a4-4ddd-4278-9efa-c24fb11d235a"]}],"mendeley":{"formattedCitation":"(Ruliyansa, 2018)","plainTextFormattedCitation":"(Ruliyansa, 2018)","previouslyFormattedCitation":"(Ruliyansa, 2018)"},"properties":{"noteIndex":0},"schema":"https://github.com/citation-style-language/schema/raw/master/csl-citation.json"}</w:instrText>
      </w:r>
      <w:r>
        <w:rPr>
          <w:rStyle w:val="15"/>
          <w:rFonts w:eastAsia="Calibri"/>
        </w:rPr>
        <w:fldChar w:fldCharType="separate"/>
      </w:r>
      <w:r>
        <w:rPr>
          <w:rFonts w:eastAsia="Calibri"/>
          <w:bCs/>
        </w:rPr>
        <w:t>(Ruliyansa, 2018)</w:t>
      </w:r>
      <w:r>
        <w:rPr>
          <w:rStyle w:val="15"/>
          <w:rFonts w:eastAsia="Calibri"/>
        </w:rPr>
        <w:fldChar w:fldCharType="end"/>
      </w:r>
      <w:r>
        <w:rPr>
          <w:rFonts w:eastAsia="Calibri"/>
        </w:rPr>
        <w:t xml:space="preserve"> Budaya tempat kerja harus diperhitungkan saat meningkatkan kinerja dan produktivitas karyawan karena akan membantu keberhasilan organisasi. Hal ini dilakukan dengan kesadaran setiap orang, yang diartikan sebagai sikap seseorang</w:t>
      </w:r>
      <w:r>
        <w:rPr>
          <w:rFonts w:eastAsia="Calibri"/>
          <w:color w:val="FFFFFF"/>
        </w:rPr>
        <w:t>i</w:t>
      </w:r>
      <w:r>
        <w:rPr>
          <w:rFonts w:eastAsia="Calibri"/>
        </w:rPr>
        <w:t>yang</w:t>
      </w:r>
      <w:r>
        <w:rPr>
          <w:rFonts w:eastAsia="Calibri"/>
          <w:color w:val="FFFFFF"/>
        </w:rPr>
        <w:t>i</w:t>
      </w:r>
      <w:r>
        <w:rPr>
          <w:rFonts w:eastAsia="Calibri"/>
        </w:rPr>
        <w:t>secara</w:t>
      </w:r>
      <w:r>
        <w:rPr>
          <w:rFonts w:eastAsia="Calibri"/>
          <w:color w:val="FFFFFF"/>
        </w:rPr>
        <w:t>i</w:t>
      </w:r>
      <w:r>
        <w:rPr>
          <w:rFonts w:eastAsia="Calibri"/>
        </w:rPr>
        <w:t>sukarela</w:t>
      </w:r>
      <w:r>
        <w:rPr>
          <w:rFonts w:eastAsia="Calibri"/>
          <w:color w:val="FFFFFF"/>
        </w:rPr>
        <w:t>i</w:t>
      </w:r>
      <w:r>
        <w:rPr>
          <w:rFonts w:eastAsia="Calibri"/>
        </w:rPr>
        <w:t>mengikuti</w:t>
      </w:r>
      <w:r>
        <w:rPr>
          <w:rFonts w:eastAsia="Calibri"/>
          <w:color w:val="FFFFFF"/>
        </w:rPr>
        <w:t>i</w:t>
      </w:r>
      <w:r>
        <w:rPr>
          <w:rFonts w:eastAsia="Calibri"/>
        </w:rPr>
        <w:t>semua</w:t>
      </w:r>
      <w:r>
        <w:rPr>
          <w:rFonts w:eastAsia="Calibri"/>
          <w:color w:val="FFFFFF"/>
        </w:rPr>
        <w:t>i</w:t>
      </w:r>
      <w:r>
        <w:rPr>
          <w:rFonts w:eastAsia="Calibri"/>
        </w:rPr>
        <w:t>aturan</w:t>
      </w:r>
      <w:r>
        <w:rPr>
          <w:rFonts w:eastAsia="Calibri"/>
          <w:color w:val="FFFFFF"/>
        </w:rPr>
        <w:t>i</w:t>
      </w:r>
      <w:r>
        <w:rPr>
          <w:rFonts w:eastAsia="Calibri"/>
        </w:rPr>
        <w:t>dan sadar akan</w:t>
      </w:r>
      <w:r>
        <w:rPr>
          <w:rFonts w:eastAsia="Calibri"/>
          <w:color w:val="FFFFFF"/>
        </w:rPr>
        <w:t>i</w:t>
      </w:r>
      <w:r>
        <w:rPr>
          <w:rFonts w:eastAsia="Calibri"/>
        </w:rPr>
        <w:t>tanggung jawabnya. serta kewajiban. Tempat kerja memiliki peran yang sangat penting dalam meningkatkan</w:t>
      </w:r>
      <w:r>
        <w:rPr>
          <w:rFonts w:eastAsia="Calibri"/>
          <w:color w:val="FFFFFF"/>
        </w:rPr>
        <w:t>i</w:t>
      </w:r>
      <w:r>
        <w:rPr>
          <w:rFonts w:eastAsia="Calibri"/>
        </w:rPr>
        <w:t>kinerja</w:t>
      </w:r>
      <w:r>
        <w:rPr>
          <w:rFonts w:eastAsia="Calibri"/>
          <w:color w:val="FFFFFF"/>
        </w:rPr>
        <w:t>i</w:t>
      </w:r>
      <w:r>
        <w:rPr>
          <w:rFonts w:eastAsia="Calibri"/>
        </w:rPr>
        <w:t>karyawan</w:t>
      </w:r>
      <w:r>
        <w:rPr>
          <w:rFonts w:eastAsia="Calibri"/>
          <w:color w:val="FFFFFF"/>
        </w:rPr>
        <w:t>i</w:t>
      </w:r>
      <w:r>
        <w:rPr>
          <w:rFonts w:eastAsia="Calibri"/>
        </w:rPr>
        <w:t>melalui</w:t>
      </w:r>
      <w:r>
        <w:rPr>
          <w:rFonts w:eastAsia="Calibri"/>
          <w:color w:val="FFFFFF"/>
        </w:rPr>
        <w:t>i</w:t>
      </w:r>
      <w:r>
        <w:rPr>
          <w:rFonts w:eastAsia="Calibri"/>
        </w:rPr>
        <w:t>lingkungan</w:t>
      </w:r>
      <w:r>
        <w:rPr>
          <w:rFonts w:eastAsia="Calibri"/>
          <w:color w:val="FFFFFF"/>
        </w:rPr>
        <w:t>i</w:t>
      </w:r>
      <w:r>
        <w:rPr>
          <w:rFonts w:eastAsia="Calibri"/>
        </w:rPr>
        <w:t>fisik</w:t>
      </w:r>
      <w:r>
        <w:rPr>
          <w:rFonts w:eastAsia="Calibri"/>
          <w:color w:val="FFFFFF"/>
        </w:rPr>
        <w:t>i</w:t>
      </w:r>
      <w:r>
        <w:rPr>
          <w:rFonts w:eastAsia="Calibri"/>
        </w:rPr>
        <w:t>dan non</w:t>
      </w:r>
      <w:r>
        <w:rPr>
          <w:rFonts w:eastAsia="Calibri"/>
          <w:color w:val="FFFFFF"/>
        </w:rPr>
        <w:t>i</w:t>
      </w:r>
      <w:r>
        <w:rPr>
          <w:rFonts w:eastAsia="Calibri"/>
        </w:rPr>
        <w:t>fisik</w:t>
      </w:r>
      <w:r>
        <w:rPr>
          <w:rFonts w:eastAsia="Calibri"/>
          <w:color w:val="FFFFFF"/>
        </w:rPr>
        <w:t>i</w:t>
      </w:r>
      <w:r>
        <w:rPr>
          <w:rFonts w:eastAsia="Calibri"/>
        </w:rPr>
        <w:t>yang</w:t>
      </w:r>
      <w:r>
        <w:rPr>
          <w:rFonts w:eastAsia="Calibri"/>
          <w:color w:val="FFFFFF"/>
        </w:rPr>
        <w:t>i</w:t>
      </w:r>
      <w:r>
        <w:rPr>
          <w:rFonts w:eastAsia="Calibri"/>
        </w:rPr>
        <w:t>baik, seperti menciptakan</w:t>
      </w:r>
      <w:r>
        <w:rPr>
          <w:rFonts w:eastAsia="Calibri"/>
          <w:color w:val="FFFFFF"/>
        </w:rPr>
        <w:t>i</w:t>
      </w:r>
      <w:r>
        <w:rPr>
          <w:rFonts w:eastAsia="Calibri"/>
        </w:rPr>
        <w:t>lingkungan yang aman</w:t>
      </w:r>
      <w:r>
        <w:rPr>
          <w:rFonts w:eastAsia="Calibri"/>
          <w:color w:val="FFFFFF"/>
        </w:rPr>
        <w:t>i</w:t>
      </w:r>
      <w:r>
        <w:rPr>
          <w:rFonts w:eastAsia="Calibri"/>
        </w:rPr>
        <w:t>dan</w:t>
      </w:r>
      <w:r>
        <w:rPr>
          <w:rFonts w:eastAsia="Calibri"/>
          <w:color w:val="FFFFFF"/>
        </w:rPr>
        <w:t>i</w:t>
      </w:r>
      <w:r>
        <w:rPr>
          <w:rFonts w:eastAsia="Calibri"/>
        </w:rPr>
        <w:t>nyaman bagi karyawan, menyediakan fasilitas</w:t>
      </w:r>
      <w:r>
        <w:rPr>
          <w:rFonts w:eastAsia="Calibri"/>
          <w:color w:val="FFFFFF"/>
        </w:rPr>
        <w:t>i</w:t>
      </w:r>
      <w:r>
        <w:rPr>
          <w:rFonts w:eastAsia="Calibri"/>
        </w:rPr>
        <w:t>dan alat</w:t>
      </w:r>
      <w:r>
        <w:rPr>
          <w:rFonts w:eastAsia="Calibri"/>
          <w:color w:val="FFFFFF"/>
        </w:rPr>
        <w:t>i</w:t>
      </w:r>
      <w:r>
        <w:rPr>
          <w:rFonts w:eastAsia="Calibri"/>
        </w:rPr>
        <w:t>keselamatan</w:t>
      </w:r>
      <w:r>
        <w:rPr>
          <w:rFonts w:eastAsia="Calibri"/>
          <w:color w:val="FFFFFF"/>
        </w:rPr>
        <w:t>i</w:t>
      </w:r>
      <w:r>
        <w:rPr>
          <w:rFonts w:eastAsia="Calibri"/>
        </w:rPr>
        <w:t>kerja, menjaga kebersihan tempat</w:t>
      </w:r>
      <w:r>
        <w:rPr>
          <w:rFonts w:eastAsia="Calibri"/>
          <w:color w:val="FFFFFF"/>
        </w:rPr>
        <w:t>i</w:t>
      </w:r>
      <w:r>
        <w:rPr>
          <w:rFonts w:eastAsia="Calibri"/>
        </w:rPr>
        <w:t>kerja, dan meningkatkan</w:t>
      </w:r>
      <w:r>
        <w:rPr>
          <w:rFonts w:eastAsia="Calibri"/>
          <w:color w:val="FFFFFF"/>
        </w:rPr>
        <w:t>i</w:t>
      </w:r>
      <w:r>
        <w:rPr>
          <w:rFonts w:eastAsia="Calibri"/>
        </w:rPr>
        <w:t>semangat kerja karyawan setiap</w:t>
      </w:r>
      <w:r>
        <w:rPr>
          <w:rFonts w:eastAsia="Calibri"/>
          <w:color w:val="FFFFFF"/>
        </w:rPr>
        <w:t>i</w:t>
      </w:r>
      <w:r>
        <w:rPr>
          <w:rFonts w:eastAsia="Calibri"/>
        </w:rPr>
        <w:t>kegiatan, sehingga produktivitas kerja fisik</w:t>
      </w:r>
      <w:r>
        <w:rPr>
          <w:rFonts w:eastAsia="Calibri"/>
          <w:color w:val="FFFFFF"/>
        </w:rPr>
        <w:t>i</w:t>
      </w:r>
      <w:r>
        <w:rPr>
          <w:rFonts w:eastAsia="Calibri"/>
        </w:rPr>
        <w:t>dan</w:t>
      </w:r>
      <w:r>
        <w:rPr>
          <w:rFonts w:eastAsia="Calibri"/>
          <w:color w:val="FFFFFF"/>
        </w:rPr>
        <w:t>i</w:t>
      </w:r>
      <w:r>
        <w:rPr>
          <w:rFonts w:eastAsia="Calibri"/>
        </w:rPr>
        <w:t>non fisik</w:t>
      </w:r>
      <w:r>
        <w:rPr>
          <w:rFonts w:eastAsia="Calibri"/>
          <w:color w:val="FFFFFF"/>
        </w:rPr>
        <w:t>i</w:t>
      </w:r>
      <w:r>
        <w:rPr>
          <w:rFonts w:eastAsia="Calibri"/>
        </w:rPr>
        <w:t>yang</w:t>
      </w:r>
      <w:r>
        <w:rPr>
          <w:rFonts w:eastAsia="Calibri"/>
          <w:color w:val="FFFFFF"/>
        </w:rPr>
        <w:t>i</w:t>
      </w:r>
      <w:r>
        <w:rPr>
          <w:rFonts w:eastAsia="Calibri"/>
        </w:rPr>
        <w:t>memadai</w:t>
      </w:r>
      <w:r>
        <w:rPr>
          <w:rFonts w:eastAsia="Calibri"/>
          <w:color w:val="FFFFFF"/>
        </w:rPr>
        <w:t>i</w:t>
      </w:r>
      <w:r>
        <w:rPr>
          <w:rFonts w:eastAsia="Calibri"/>
        </w:rPr>
        <w:t>akan</w:t>
      </w:r>
      <w:r>
        <w:rPr>
          <w:rFonts w:eastAsia="Calibri"/>
          <w:color w:val="FFFFFF"/>
        </w:rPr>
        <w:t>i</w:t>
      </w:r>
      <w:r>
        <w:rPr>
          <w:rFonts w:eastAsia="Calibri"/>
        </w:rPr>
        <w:t>meningkat.</w:t>
      </w:r>
      <w:r>
        <w:rPr>
          <w:rFonts w:eastAsia="Calibri"/>
          <w:color w:val="FFFFFF"/>
        </w:rPr>
        <w:t>i</w:t>
      </w:r>
      <w:r>
        <w:rPr>
          <w:rStyle w:val="15"/>
        </w:rPr>
        <w:fldChar w:fldCharType="begin"/>
      </w:r>
      <w:r>
        <w:instrText xml:space="preserve">ADDIN CSL_CITATION {"citationItems":[{"id":"ITEM-1","itemData":{"ISSN":"2502-1559","author":[{"dropping-particle":"","family":"Sari","given":"Dewi Puspita","non-dropping-particle":"","parse-names":false,"suffix":""},{"dropping-particle":"","family":"Megawati","given":"Imelda","non-dropping-particle":"","parse-names":false,"suffix":""},{"dropping-particle":"","family":"Heriyanto","given":"Imam","non-dropping-particle":"","parse-names":false,"suffix":""}],"container-title":"Majalah Bisnis &amp; IPTEK","id":"ITEM-1","issue":"1","issued":{"date-parts":[["2020"]]},"page":"31-44","title":"Pengaruh Lingkungan Kerja Dan Disiplin Kerja Terhadap Kinerja Karyawan PT. Infomedia Nusantara Bagian Call Center Tele Account Management (TAM) Telkom Bandung","type":"article-journal","volume":"13"},"uris":["http://www.mendeley.com/documents/?uuid=3a740593-f1a1-4352-a4e1-425e70d41c4d"]}],"mendeley":{"formattedCitation":"(Sari et al., 2020)","plainTextFormattedCitation":"(Sari et al., 2020)","previouslyFormattedCitation":"(Sari et al., 2020)"},"properties":{"noteIndex":0},"schema":"https://github.com/citation-style-language/schema/raw/master/csl-citation.json"}</w:instrText>
      </w:r>
      <w:r>
        <w:rPr>
          <w:rStyle w:val="15"/>
        </w:rPr>
        <w:fldChar w:fldCharType="separate"/>
      </w:r>
      <w:r>
        <w:rPr>
          <w:bCs/>
        </w:rPr>
        <w:t>(Sari</w:t>
      </w:r>
      <w:r>
        <w:rPr>
          <w:bCs/>
          <w:color w:val="FFFFFF"/>
        </w:rPr>
        <w:t xml:space="preserve"> </w:t>
      </w:r>
      <w:r>
        <w:rPr>
          <w:bCs/>
        </w:rPr>
        <w:t>et al., 2020)</w:t>
      </w:r>
      <w:r>
        <w:rPr>
          <w:rStyle w:val="15"/>
        </w:rPr>
        <w:fldChar w:fldCharType="end"/>
      </w:r>
      <w:r>
        <w:rPr>
          <w:rStyle w:val="15"/>
        </w:rPr>
        <w:t>.</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rPr>
          <w:b/>
          <w:color w:val="000000"/>
        </w:rPr>
        <w:t>Metode Penelitian</w:t>
      </w:r>
      <w:r>
        <w:rPr>
          <w:color w:val="000000"/>
        </w:rPr>
        <w:t xml:space="preserve"> </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Jenis</w:t>
      </w:r>
      <w:r>
        <w:rPr>
          <w:color w:val="FFFFFF"/>
        </w:rPr>
        <w:t>i</w:t>
      </w:r>
      <w:r>
        <w:t>penelitian yang</w:t>
      </w:r>
      <w:r>
        <w:rPr>
          <w:color w:val="FFFFFF"/>
        </w:rPr>
        <w:t>i</w:t>
      </w:r>
      <w:r>
        <w:t>digunakan</w:t>
      </w:r>
      <w:r>
        <w:rPr>
          <w:color w:val="FFFFFF"/>
        </w:rPr>
        <w:t>i</w:t>
      </w:r>
      <w:r>
        <w:t>adalah jenis penelitian penjelasan (</w:t>
      </w:r>
      <w:r>
        <w:rPr>
          <w:i/>
        </w:rPr>
        <w:t xml:space="preserve">Explanatory Research) </w:t>
      </w:r>
      <w:r>
        <w:t xml:space="preserve">dengan pendekatan kuantitatif. Menurut </w:t>
      </w:r>
      <w:r>
        <w:rPr>
          <w:rStyle w:val="13"/>
          <w:bCs/>
        </w:rPr>
        <w:t>Menurut Sugiyono</w:t>
      </w:r>
      <w:r>
        <w:t xml:space="preserve"> (2017: 6) </w:t>
      </w:r>
      <w:r>
        <w:rPr>
          <w:i/>
        </w:rPr>
        <w:t>Explanatory</w:t>
      </w:r>
      <w:r>
        <w:rPr>
          <w:i/>
          <w:color w:val="FFFFFF"/>
        </w:rPr>
        <w:t>i</w:t>
      </w:r>
      <w:r>
        <w:rPr>
          <w:i/>
        </w:rPr>
        <w:t>research</w:t>
      </w:r>
      <w:r>
        <w:t xml:space="preserve"> didefinisikan atau sering disebut sebagai penelitian yang menggunakan pengujian</w:t>
      </w:r>
      <w:r>
        <w:rPr>
          <w:color w:val="FFFFFF"/>
        </w:rPr>
        <w:t>i</w:t>
      </w:r>
      <w:r>
        <w:t>hipotesis untuk</w:t>
      </w:r>
      <w:r>
        <w:rPr>
          <w:color w:val="FFFFFF"/>
        </w:rPr>
        <w:t>i</w:t>
      </w:r>
      <w:r>
        <w:t>menjelaskan hubungan</w:t>
      </w:r>
      <w:r>
        <w:rPr>
          <w:color w:val="FFFFFF"/>
        </w:rPr>
        <w:t>i</w:t>
      </w:r>
      <w:r>
        <w:t>sebab</w:t>
      </w:r>
      <w:r>
        <w:rPr>
          <w:color w:val="FFFFFF"/>
        </w:rPr>
        <w:t>i</w:t>
      </w:r>
      <w:r>
        <w:t>akibat</w:t>
      </w:r>
      <w:r>
        <w:rPr>
          <w:color w:val="FFFFFF"/>
        </w:rPr>
        <w:t>i</w:t>
      </w:r>
      <w:r>
        <w:t>antar variabel. Penelitian ini mendeskripsikan posisi variabel-variabel yang diteliti dan hubungannya satu sama lain untuk memastikan bagaimana variabel</w:t>
      </w:r>
      <w:r>
        <w:rPr>
          <w:color w:val="FFFFFF"/>
        </w:rPr>
        <w:t>i</w:t>
      </w:r>
      <w:r>
        <w:t>independen</w:t>
      </w:r>
      <w:r>
        <w:rPr>
          <w:color w:val="FFFFFF"/>
        </w:rPr>
        <w:t>i</w:t>
      </w:r>
      <w:r>
        <w:t>yaitu kepemimpinan(X1), budaya</w:t>
      </w:r>
      <w:r>
        <w:rPr>
          <w:color w:val="FFFFFF"/>
        </w:rPr>
        <w:t>i</w:t>
      </w:r>
      <w:r>
        <w:t>kerja(X2), lingkungan</w:t>
      </w:r>
      <w:r>
        <w:rPr>
          <w:color w:val="FFFFFF"/>
        </w:rPr>
        <w:t>i</w:t>
      </w:r>
      <w:r>
        <w:t>kerja(X3) dan variable</w:t>
      </w:r>
      <w:r>
        <w:rPr>
          <w:color w:val="FFFFFF"/>
        </w:rPr>
        <w:t>i</w:t>
      </w:r>
      <w:r>
        <w:t>dependen terhadap kinerja</w:t>
      </w:r>
      <w:r>
        <w:rPr>
          <w:color w:val="FFFFFF"/>
        </w:rPr>
        <w:t>i</w:t>
      </w:r>
      <w:r>
        <w:t xml:space="preserve">karyawan (Y). Penelitian ini akan di laksanakan di Kota Surakarta dengan lokasi penelitian pada </w:t>
      </w:r>
      <w:r>
        <w:rPr>
          <w:rStyle w:val="13"/>
          <w:bCs/>
          <w:shd w:val="clear" w:color="auto" w:fill="FFFFFF"/>
        </w:rPr>
        <w:t>Kantor UPT Metrologi Legal</w:t>
      </w:r>
      <w:r>
        <w:rPr>
          <w:shd w:val="clear" w:color="auto" w:fill="FFFFFF"/>
        </w:rPr>
        <w:t> Dinas Perdagangan Kota </w:t>
      </w:r>
      <w:r>
        <w:rPr>
          <w:rStyle w:val="13"/>
          <w:bCs/>
          <w:shd w:val="clear" w:color="auto" w:fill="FFFFFF"/>
        </w:rPr>
        <w:t xml:space="preserve">Surakarta di </w:t>
      </w:r>
      <w:r>
        <w:rPr>
          <w:shd w:val="clear" w:color="auto" w:fill="FFFFFF"/>
        </w:rPr>
        <w:t>Jl. Popda</w:t>
      </w:r>
      <w:r>
        <w:rPr>
          <w:color w:val="FFFFFF"/>
          <w:shd w:val="clear" w:color="auto" w:fill="FFFFFF"/>
        </w:rPr>
        <w:t>i</w:t>
      </w:r>
      <w:r>
        <w:rPr>
          <w:shd w:val="clear" w:color="auto" w:fill="FFFFFF"/>
        </w:rPr>
        <w:t xml:space="preserve">No.1, Nusukan, Kecamatan. Banjarsari, Kota Surakarta, Jawa Tengah 57135, dengan populasi 50 karyawan. </w:t>
      </w:r>
      <w:r>
        <w:t>Analisis</w:t>
      </w:r>
      <w:r>
        <w:rPr>
          <w:color w:val="FFFFFF"/>
        </w:rPr>
        <w:t>i</w:t>
      </w:r>
      <w:r>
        <w:t>data yang</w:t>
      </w:r>
      <w:r>
        <w:rPr>
          <w:color w:val="FFFFFF"/>
        </w:rPr>
        <w:t>i</w:t>
      </w:r>
      <w:r>
        <w:t>digunakan pada penelitian ini menggunakan Uji Validitas, Reliabilitas, Asumsi Klasik, Koefisien</w:t>
      </w:r>
      <w:r>
        <w:rPr>
          <w:color w:val="FFFFFF"/>
        </w:rPr>
        <w:t>i</w:t>
      </w:r>
      <w:r>
        <w:t>Determinasi (R),</w:t>
      </w:r>
      <w:r>
        <w:rPr>
          <w:color w:val="FFFFFF"/>
        </w:rPr>
        <w:t>p</w:t>
      </w:r>
      <w:r>
        <w:t>Analisis Regresi</w:t>
      </w:r>
      <w:r>
        <w:rPr>
          <w:color w:val="FFFFFF"/>
        </w:rPr>
        <w:t>p</w:t>
      </w:r>
      <w:r>
        <w:t>Linier Berganda,</w:t>
      </w:r>
      <w:r>
        <w:rPr>
          <w:color w:val="FFFFFF"/>
        </w:rPr>
        <w:t>p</w:t>
      </w:r>
      <w:r>
        <w:t>Uji</w:t>
      </w:r>
      <w:r>
        <w:rPr>
          <w:color w:val="FFFFFF"/>
        </w:rPr>
        <w:t>p</w:t>
      </w:r>
      <w:r>
        <w:t>F dan Uji</w:t>
      </w:r>
      <w:r>
        <w:rPr>
          <w:color w:val="FFFFFF"/>
        </w:rPr>
        <w:t>p</w:t>
      </w:r>
      <w:r>
        <w:t>t yang</w:t>
      </w:r>
      <w:r>
        <w:rPr>
          <w:color w:val="FFFFFF"/>
        </w:rPr>
        <w:t>p</w:t>
      </w:r>
      <w:r>
        <w:t>diolah menggunakan</w:t>
      </w:r>
      <w:r>
        <w:rPr>
          <w:color w:val="FFFFFF"/>
        </w:rPr>
        <w:t>p</w:t>
      </w:r>
      <w:r>
        <w:rPr>
          <w:i/>
          <w:iCs/>
        </w:rPr>
        <w:t>software</w:t>
      </w:r>
      <w:r>
        <w:rPr>
          <w:i/>
          <w:iCs/>
          <w:color w:val="FFFFFF"/>
        </w:rPr>
        <w:t>p</w:t>
      </w:r>
      <w:r>
        <w:t>SPSS.</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rPr>
          <w:b/>
          <w:color w:val="000000"/>
        </w:rPr>
        <w:t>Hasil dan Pembahasan</w:t>
      </w:r>
      <w:r>
        <w:rPr>
          <w:color w:val="000000"/>
        </w:rPr>
        <w:t xml:space="preserve"> </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b/>
        </w:rPr>
      </w:pPr>
      <w:r>
        <w:rPr>
          <w:b/>
        </w:rPr>
        <w:t>Hasil</w:t>
      </w:r>
      <w:r>
        <w:rPr>
          <w:b/>
          <w:color w:val="FFFFFF"/>
        </w:rPr>
        <w:t>i</w:t>
      </w:r>
      <w:r>
        <w:rPr>
          <w:b/>
        </w:rPr>
        <w:t>Uji Validitas</w:t>
      </w:r>
      <w:r>
        <w:rPr>
          <w:b/>
          <w:color w:val="FFFFFF"/>
        </w:rPr>
        <w:t>i</w:t>
      </w:r>
      <w:r>
        <w:rPr>
          <w:b/>
        </w:rPr>
        <w:t>Instrumen</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center"/>
        <w:rPr>
          <w:b/>
        </w:rPr>
      </w:pPr>
      <w:r>
        <w:rPr>
          <w:b/>
        </w:rPr>
        <w:t xml:space="preserve">Tabel 1. </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jc w:val="center"/>
        <w:rPr>
          <w:b/>
        </w:rPr>
      </w:pPr>
      <w:r>
        <w:rPr>
          <w:b/>
        </w:rPr>
        <w:t>Uji Validitas Instrumen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1935"/>
        <w:gridCol w:w="1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nil"/>
              <w:bottom w:val="single" w:color="auto" w:sz="4" w:space="0"/>
              <w:right w:val="nil"/>
            </w:tcBorders>
          </w:tcPr>
          <w:p>
            <w:pPr>
              <w:adjustRightInd w:val="0"/>
              <w:ind w:left="0" w:hanging="2"/>
              <w:jc w:val="both"/>
              <w:rPr>
                <w:rFonts w:ascii="Arial" w:hAnsi="Arial" w:cs="Arial"/>
                <w:b/>
                <w:sz w:val="18"/>
                <w:szCs w:val="18"/>
              </w:rPr>
            </w:pPr>
            <w:r>
              <w:rPr>
                <w:rFonts w:ascii="Arial" w:hAnsi="Arial" w:cs="Arial"/>
                <w:b/>
                <w:sz w:val="18"/>
                <w:szCs w:val="18"/>
              </w:rPr>
              <w:t>Variabel</w:t>
            </w:r>
          </w:p>
        </w:tc>
        <w:tc>
          <w:tcPr>
            <w:tcW w:w="0" w:type="auto"/>
            <w:tcBorders>
              <w:left w:val="nil"/>
              <w:bottom w:val="single" w:color="auto" w:sz="4" w:space="0"/>
              <w:right w:val="nil"/>
            </w:tcBorders>
          </w:tcPr>
          <w:p>
            <w:pPr>
              <w:adjustRightInd w:val="0"/>
              <w:ind w:left="0" w:hanging="2"/>
              <w:jc w:val="both"/>
              <w:rPr>
                <w:rFonts w:ascii="Arial" w:hAnsi="Arial" w:cs="Arial"/>
                <w:b/>
                <w:sz w:val="18"/>
                <w:szCs w:val="18"/>
              </w:rPr>
            </w:pPr>
            <w:r>
              <w:rPr>
                <w:rFonts w:ascii="Arial" w:hAnsi="Arial" w:cs="Arial"/>
                <w:b/>
                <w:sz w:val="18"/>
                <w:szCs w:val="18"/>
              </w:rPr>
              <w:t>Validitas instrument</w:t>
            </w:r>
          </w:p>
        </w:tc>
        <w:tc>
          <w:tcPr>
            <w:tcW w:w="0" w:type="auto"/>
            <w:tcBorders>
              <w:left w:val="nil"/>
              <w:bottom w:val="single" w:color="auto" w:sz="4" w:space="0"/>
            </w:tcBorders>
          </w:tcPr>
          <w:p>
            <w:pPr>
              <w:adjustRightInd w:val="0"/>
              <w:ind w:left="0" w:hanging="2"/>
              <w:jc w:val="both"/>
              <w:rPr>
                <w:rFonts w:ascii="Arial" w:hAnsi="Arial" w:cs="Arial"/>
                <w:b/>
                <w:sz w:val="18"/>
                <w:szCs w:val="18"/>
              </w:rPr>
            </w:pPr>
            <w:r>
              <w:rPr>
                <w:rFonts w:ascii="Arial" w:hAnsi="Arial" w:cs="Arial"/>
                <w:b/>
                <w:sz w:val="18"/>
                <w:szCs w:val="18"/>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Kinerja</w:t>
            </w:r>
            <w:r>
              <w:rPr>
                <w:rFonts w:ascii="Arial" w:hAnsi="Arial" w:cs="Arial"/>
                <w:color w:val="FFFFFF"/>
                <w:sz w:val="18"/>
                <w:szCs w:val="18"/>
              </w:rPr>
              <w:t>i</w:t>
            </w:r>
            <w:r>
              <w:rPr>
                <w:rFonts w:ascii="Arial" w:hAnsi="Arial" w:cs="Arial"/>
                <w:sz w:val="18"/>
                <w:szCs w:val="18"/>
              </w:rPr>
              <w:t>Karyawan (Y)</w:t>
            </w:r>
          </w:p>
        </w:tc>
        <w:tc>
          <w:tcPr>
            <w:tcW w:w="0" w:type="auto"/>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0,906</w:t>
            </w:r>
          </w:p>
        </w:tc>
        <w:tc>
          <w:tcPr>
            <w:tcW w:w="0" w:type="auto"/>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 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Kepemimpinan</w:t>
            </w:r>
            <w:r>
              <w:rPr>
                <w:rFonts w:ascii="Arial" w:hAnsi="Arial" w:cs="Arial"/>
                <w:color w:val="FFFFFF"/>
                <w:sz w:val="18"/>
                <w:szCs w:val="18"/>
              </w:rPr>
              <w:t>i</w:t>
            </w:r>
            <w:r>
              <w:rPr>
                <w:rFonts w:ascii="Arial" w:hAnsi="Arial" w:cs="Arial"/>
                <w:sz w:val="18"/>
                <w:szCs w:val="18"/>
              </w:rPr>
              <w:t>(X1)</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0,548</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 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Budaya Kerja</w:t>
            </w:r>
            <w:r>
              <w:rPr>
                <w:rFonts w:ascii="Arial" w:hAnsi="Arial" w:cs="Arial"/>
                <w:color w:val="FFFFFF"/>
                <w:sz w:val="18"/>
                <w:szCs w:val="18"/>
              </w:rPr>
              <w:t>i</w:t>
            </w:r>
            <w:r>
              <w:rPr>
                <w:rFonts w:ascii="Arial" w:hAnsi="Arial" w:cs="Arial"/>
                <w:sz w:val="18"/>
                <w:szCs w:val="18"/>
              </w:rPr>
              <w:t>(X2)</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0,704</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 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nil"/>
              <w:left w:val="nil"/>
              <w:right w:val="nil"/>
            </w:tcBorders>
          </w:tcPr>
          <w:p>
            <w:pPr>
              <w:adjustRightInd w:val="0"/>
              <w:ind w:left="0" w:hanging="2"/>
              <w:jc w:val="both"/>
              <w:rPr>
                <w:rFonts w:ascii="Arial" w:hAnsi="Arial" w:cs="Arial"/>
                <w:sz w:val="18"/>
                <w:szCs w:val="18"/>
              </w:rPr>
            </w:pPr>
            <w:r>
              <w:rPr>
                <w:rFonts w:ascii="Arial" w:hAnsi="Arial" w:cs="Arial"/>
                <w:sz w:val="18"/>
                <w:szCs w:val="18"/>
              </w:rPr>
              <w:t>Lingkungan Kerja (X3)</w:t>
            </w:r>
          </w:p>
        </w:tc>
        <w:tc>
          <w:tcPr>
            <w:tcW w:w="0" w:type="auto"/>
            <w:tcBorders>
              <w:top w:val="nil"/>
              <w:left w:val="nil"/>
              <w:right w:val="nil"/>
            </w:tcBorders>
          </w:tcPr>
          <w:p>
            <w:pPr>
              <w:adjustRightInd w:val="0"/>
              <w:ind w:left="0" w:hanging="2"/>
              <w:jc w:val="both"/>
              <w:rPr>
                <w:rFonts w:ascii="Arial" w:hAnsi="Arial" w:cs="Arial"/>
                <w:sz w:val="18"/>
                <w:szCs w:val="18"/>
              </w:rPr>
            </w:pPr>
            <w:r>
              <w:rPr>
                <w:rFonts w:ascii="Arial" w:hAnsi="Arial" w:cs="Arial"/>
                <w:sz w:val="18"/>
                <w:szCs w:val="18"/>
              </w:rPr>
              <w:t>0,772</w:t>
            </w:r>
          </w:p>
        </w:tc>
        <w:tc>
          <w:tcPr>
            <w:tcW w:w="0" w:type="auto"/>
            <w:tcBorders>
              <w:top w:val="nil"/>
              <w:left w:val="nil"/>
              <w:right w:val="nil"/>
            </w:tcBorders>
          </w:tcPr>
          <w:p>
            <w:pPr>
              <w:adjustRightInd w:val="0"/>
              <w:ind w:left="0" w:hanging="2"/>
              <w:jc w:val="both"/>
              <w:rPr>
                <w:rFonts w:ascii="Arial" w:hAnsi="Arial" w:cs="Arial"/>
                <w:sz w:val="18"/>
                <w:szCs w:val="18"/>
              </w:rPr>
            </w:pPr>
            <w:r>
              <w:rPr>
                <w:rFonts w:ascii="Arial" w:hAnsi="Arial" w:cs="Arial"/>
                <w:sz w:val="18"/>
                <w:szCs w:val="18"/>
              </w:rPr>
              <w:t>&gt; 0,05</w:t>
            </w:r>
          </w:p>
        </w:tc>
      </w:tr>
    </w:tbl>
    <w:p>
      <w:pPr>
        <w:suppressAutoHyphens w:val="0"/>
        <w:spacing w:line="240" w:lineRule="auto"/>
        <w:ind w:left="0" w:leftChars="0" w:firstLine="0" w:firstLineChars="0"/>
        <w:textAlignment w:val="auto"/>
        <w:outlineLvl w:val="9"/>
      </w:pP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r>
        <w:t>Dari</w:t>
      </w:r>
      <w:r>
        <w:rPr>
          <w:color w:val="FFFFFF"/>
        </w:rPr>
        <w:t>i</w:t>
      </w:r>
      <w:r>
        <w:t>hasil uji</w:t>
      </w:r>
      <w:r>
        <w:rPr>
          <w:color w:val="FFFFFF"/>
        </w:rPr>
        <w:t>i</w:t>
      </w:r>
      <w:r>
        <w:t>validitas</w:t>
      </w:r>
      <w:r>
        <w:rPr>
          <w:color w:val="FFFFFF"/>
        </w:rPr>
        <w:t>i</w:t>
      </w:r>
      <w:r>
        <w:t>variabel kinerja</w:t>
      </w:r>
      <w:r>
        <w:rPr>
          <w:color w:val="FFFFFF"/>
        </w:rPr>
        <w:t>i</w:t>
      </w:r>
      <w:r>
        <w:t>karyawan (Y), semua instrumen dinyatakan valid</w:t>
      </w:r>
    </w:p>
    <w:p>
      <w:pPr>
        <w:ind w:left="0" w:hanging="2"/>
        <w:jc w:val="center"/>
        <w:rPr>
          <w:b/>
        </w:rPr>
      </w:pPr>
    </w:p>
    <w:p>
      <w:pPr>
        <w:ind w:left="0" w:hanging="2"/>
        <w:jc w:val="center"/>
        <w:rPr>
          <w:b/>
        </w:rPr>
      </w:pPr>
    </w:p>
    <w:p>
      <w:pPr>
        <w:ind w:left="0" w:hanging="2"/>
        <w:jc w:val="center"/>
        <w:rPr>
          <w:b/>
        </w:rPr>
      </w:pPr>
      <w:r>
        <w:rPr>
          <w:b/>
        </w:rPr>
        <w:t>Tabel 2.</w:t>
      </w:r>
    </w:p>
    <w:p>
      <w:pPr>
        <w:ind w:left="0" w:hanging="2"/>
        <w:jc w:val="center"/>
        <w:rPr>
          <w:b/>
        </w:rPr>
      </w:pPr>
      <w:r>
        <w:rPr>
          <w:b/>
        </w:rPr>
        <w:t>Uji Realibilitas</w:t>
      </w:r>
    </w:p>
    <w:tbl>
      <w:tblPr>
        <w:tblStyle w:val="22"/>
        <w:tblW w:w="0" w:type="auto"/>
        <w:tblInd w:w="5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5"/>
        <w:gridCol w:w="1747"/>
        <w:gridCol w:w="2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left w:val="nil"/>
              <w:bottom w:val="single" w:color="auto" w:sz="4" w:space="0"/>
              <w:right w:val="nil"/>
            </w:tcBorders>
          </w:tcPr>
          <w:p>
            <w:pPr>
              <w:adjustRightInd w:val="0"/>
              <w:ind w:left="0" w:hanging="2"/>
              <w:jc w:val="both"/>
              <w:rPr>
                <w:rFonts w:ascii="Arial" w:hAnsi="Arial" w:cs="Arial"/>
                <w:b/>
                <w:sz w:val="18"/>
                <w:szCs w:val="18"/>
              </w:rPr>
            </w:pPr>
            <w:r>
              <w:rPr>
                <w:rFonts w:ascii="Arial" w:hAnsi="Arial" w:cs="Arial"/>
                <w:b/>
                <w:sz w:val="18"/>
                <w:szCs w:val="18"/>
              </w:rPr>
              <w:t>Variabel</w:t>
            </w:r>
          </w:p>
        </w:tc>
        <w:tc>
          <w:tcPr>
            <w:tcW w:w="0" w:type="auto"/>
            <w:tcBorders>
              <w:left w:val="nil"/>
              <w:bottom w:val="single" w:color="auto" w:sz="4" w:space="0"/>
              <w:right w:val="nil"/>
            </w:tcBorders>
          </w:tcPr>
          <w:p>
            <w:pPr>
              <w:adjustRightInd w:val="0"/>
              <w:ind w:left="0" w:hanging="2"/>
              <w:jc w:val="both"/>
              <w:rPr>
                <w:rFonts w:ascii="Arial" w:hAnsi="Arial" w:cs="Arial"/>
                <w:b/>
                <w:sz w:val="18"/>
                <w:szCs w:val="18"/>
              </w:rPr>
            </w:pPr>
            <w:r>
              <w:rPr>
                <w:rFonts w:ascii="Arial" w:hAnsi="Arial" w:cs="Arial"/>
                <w:b/>
                <w:color w:val="000000"/>
                <w:sz w:val="18"/>
                <w:szCs w:val="18"/>
              </w:rPr>
              <w:t>Cronbach's Alpha</w:t>
            </w:r>
          </w:p>
        </w:tc>
        <w:tc>
          <w:tcPr>
            <w:tcW w:w="2789" w:type="dxa"/>
            <w:tcBorders>
              <w:left w:val="nil"/>
              <w:bottom w:val="single" w:color="auto" w:sz="4" w:space="0"/>
            </w:tcBorders>
          </w:tcPr>
          <w:p>
            <w:pPr>
              <w:adjustRightInd w:val="0"/>
              <w:ind w:left="0" w:hanging="2"/>
              <w:jc w:val="both"/>
              <w:rPr>
                <w:rFonts w:ascii="Arial" w:hAnsi="Arial" w:cs="Arial"/>
                <w:b/>
                <w:sz w:val="18"/>
                <w:szCs w:val="18"/>
              </w:rPr>
            </w:pPr>
            <w:r>
              <w:rPr>
                <w:rFonts w:ascii="Arial" w:hAnsi="Arial" w:cs="Arial"/>
                <w:b/>
                <w:sz w:val="18"/>
                <w:szCs w:val="18"/>
              </w:rPr>
              <w:t>Keterangan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Kinerja</w:t>
            </w:r>
            <w:r>
              <w:rPr>
                <w:rFonts w:ascii="Arial" w:hAnsi="Arial" w:cs="Arial"/>
                <w:color w:val="FFFFFF"/>
                <w:sz w:val="18"/>
                <w:szCs w:val="18"/>
              </w:rPr>
              <w:t>i</w:t>
            </w:r>
            <w:r>
              <w:rPr>
                <w:rFonts w:ascii="Arial" w:hAnsi="Arial" w:cs="Arial"/>
                <w:sz w:val="18"/>
                <w:szCs w:val="18"/>
              </w:rPr>
              <w:t>Karyawan (Y)</w:t>
            </w:r>
          </w:p>
        </w:tc>
        <w:tc>
          <w:tcPr>
            <w:tcW w:w="0" w:type="auto"/>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0,773</w:t>
            </w:r>
          </w:p>
        </w:tc>
        <w:tc>
          <w:tcPr>
            <w:tcW w:w="2789" w:type="dxa"/>
            <w:tcBorders>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&gt;0,6</w:t>
            </w:r>
            <w:r>
              <w:rPr>
                <w:rFonts w:ascii="Arial" w:hAnsi="Arial" w:cs="Arial"/>
                <w:color w:val="FFFFFF"/>
                <w:sz w:val="18"/>
                <w:szCs w:val="18"/>
              </w:rPr>
              <w:t>i</w:t>
            </w:r>
            <w:r>
              <w:rPr>
                <w:rFonts w:ascii="Arial" w:hAnsi="Arial" w:cs="Arial"/>
                <w:sz w:val="18"/>
                <w:szCs w:val="18"/>
              </w:rPr>
              <w:t>realiable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Kepemimpinan (X1)</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0,705</w:t>
            </w:r>
          </w:p>
        </w:tc>
        <w:tc>
          <w:tcPr>
            <w:tcW w:w="2789"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&gt;0,6</w:t>
            </w:r>
            <w:r>
              <w:rPr>
                <w:rFonts w:ascii="Arial" w:hAnsi="Arial" w:cs="Arial"/>
                <w:i/>
                <w:color w:val="FFFFFF"/>
                <w:sz w:val="18"/>
                <w:szCs w:val="18"/>
              </w:rPr>
              <w:t>i</w:t>
            </w:r>
            <w:r>
              <w:rPr>
                <w:rFonts w:ascii="Arial" w:hAnsi="Arial" w:cs="Arial"/>
                <w:sz w:val="18"/>
                <w:szCs w:val="18"/>
              </w:rPr>
              <w:t>realiable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Budaya Kerja (X2)</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0,760</w:t>
            </w:r>
          </w:p>
        </w:tc>
        <w:tc>
          <w:tcPr>
            <w:tcW w:w="2789"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&gt;0,6</w:t>
            </w:r>
            <w:r>
              <w:rPr>
                <w:rFonts w:ascii="Arial" w:hAnsi="Arial" w:cs="Arial"/>
                <w:color w:val="FFFFFF"/>
                <w:sz w:val="18"/>
                <w:szCs w:val="18"/>
              </w:rPr>
              <w:t>i</w:t>
            </w:r>
            <w:r>
              <w:rPr>
                <w:rFonts w:ascii="Arial" w:hAnsi="Arial" w:cs="Arial"/>
                <w:sz w:val="18"/>
                <w:szCs w:val="18"/>
              </w:rPr>
              <w:t>realiable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Lingkungan Kerja (X3)</w:t>
            </w:r>
          </w:p>
        </w:tc>
        <w:tc>
          <w:tcPr>
            <w:tcW w:w="0" w:type="auto"/>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0,762</w:t>
            </w:r>
          </w:p>
        </w:tc>
        <w:tc>
          <w:tcPr>
            <w:tcW w:w="2789" w:type="dxa"/>
            <w:tcBorders>
              <w:top w:val="nil"/>
              <w:left w:val="nil"/>
              <w:bottom w:val="nil"/>
              <w:right w:val="nil"/>
            </w:tcBorders>
          </w:tcPr>
          <w:p>
            <w:pPr>
              <w:adjustRightInd w:val="0"/>
              <w:ind w:left="0" w:hanging="2"/>
              <w:jc w:val="both"/>
              <w:rPr>
                <w:rFonts w:ascii="Arial" w:hAnsi="Arial" w:cs="Arial"/>
                <w:sz w:val="18"/>
                <w:szCs w:val="18"/>
              </w:rPr>
            </w:pPr>
            <w:r>
              <w:rPr>
                <w:rFonts w:ascii="Arial" w:hAnsi="Arial" w:cs="Arial"/>
                <w:sz w:val="18"/>
                <w:szCs w:val="18"/>
              </w:rPr>
              <w:t>&gt;0,6</w:t>
            </w:r>
            <w:r>
              <w:rPr>
                <w:rFonts w:ascii="Arial" w:hAnsi="Arial" w:cs="Arial"/>
                <w:color w:val="FFFFFF"/>
                <w:sz w:val="18"/>
                <w:szCs w:val="18"/>
              </w:rPr>
              <w:t>i</w:t>
            </w:r>
            <w:r>
              <w:rPr>
                <w:rFonts w:ascii="Arial" w:hAnsi="Arial" w:cs="Arial"/>
                <w:sz w:val="18"/>
                <w:szCs w:val="18"/>
              </w:rPr>
              <w:t>realiable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5" w:type="dxa"/>
            <w:tcBorders>
              <w:top w:val="nil"/>
              <w:left w:val="nil"/>
              <w:right w:val="nil"/>
            </w:tcBorders>
          </w:tcPr>
          <w:p>
            <w:pPr>
              <w:adjustRightInd w:val="0"/>
              <w:ind w:left="0" w:hanging="2"/>
              <w:jc w:val="both"/>
              <w:rPr>
                <w:rFonts w:ascii="Arial" w:hAnsi="Arial" w:cs="Arial"/>
                <w:sz w:val="18"/>
                <w:szCs w:val="18"/>
              </w:rPr>
            </w:pPr>
          </w:p>
        </w:tc>
        <w:tc>
          <w:tcPr>
            <w:tcW w:w="0" w:type="auto"/>
            <w:tcBorders>
              <w:top w:val="nil"/>
              <w:left w:val="nil"/>
              <w:right w:val="nil"/>
            </w:tcBorders>
          </w:tcPr>
          <w:p>
            <w:pPr>
              <w:adjustRightInd w:val="0"/>
              <w:ind w:left="0" w:hanging="2"/>
              <w:jc w:val="both"/>
              <w:rPr>
                <w:rFonts w:ascii="Arial" w:hAnsi="Arial" w:cs="Arial"/>
                <w:sz w:val="18"/>
                <w:szCs w:val="18"/>
              </w:rPr>
            </w:pPr>
          </w:p>
        </w:tc>
        <w:tc>
          <w:tcPr>
            <w:tcW w:w="2789" w:type="dxa"/>
            <w:tcBorders>
              <w:top w:val="nil"/>
              <w:left w:val="nil"/>
              <w:right w:val="nil"/>
            </w:tcBorders>
          </w:tcPr>
          <w:p>
            <w:pPr>
              <w:adjustRightInd w:val="0"/>
              <w:ind w:left="0" w:hanging="2"/>
              <w:jc w:val="both"/>
              <w:rPr>
                <w:rFonts w:ascii="Arial" w:hAnsi="Arial" w:cs="Arial"/>
                <w:sz w:val="18"/>
                <w:szCs w:val="18"/>
              </w:rPr>
            </w:pPr>
          </w:p>
        </w:tc>
      </w:tr>
    </w:tbl>
    <w:p>
      <w:pPr>
        <w:ind w:left="0" w:hanging="2"/>
        <w:jc w:val="both"/>
      </w:pP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 xml:space="preserve">Uji realibilitas terhadap 50 orang yang menjadi sampel dengan menggunkan uji statistik </w:t>
      </w:r>
      <w:r>
        <w:rPr>
          <w:i/>
        </w:rPr>
        <w:t xml:space="preserve">Cronbach alpha (a), </w:t>
      </w:r>
      <w:r>
        <w:t>dengan menggunakan lah data SPSS, apabila nilainya lebih</w:t>
      </w:r>
      <w:r>
        <w:rPr>
          <w:color w:val="FFFFFF"/>
        </w:rPr>
        <w:t>i</w:t>
      </w:r>
      <w:r>
        <w:t>besar</w:t>
      </w:r>
      <w:r>
        <w:rPr>
          <w:color w:val="FFFFFF"/>
        </w:rPr>
        <w:t>i</w:t>
      </w:r>
      <w:r>
        <w:t>dari 0,6, maka</w:t>
      </w:r>
      <w:r>
        <w:rPr>
          <w:color w:val="FFFFFF"/>
        </w:rPr>
        <w:t>i</w:t>
      </w:r>
      <w:r>
        <w:t>instrumen</w:t>
      </w:r>
      <w:r>
        <w:rPr>
          <w:color w:val="FFFFFF"/>
        </w:rPr>
        <w:t>i</w:t>
      </w:r>
      <w:r>
        <w:t>dinyatakan</w:t>
      </w:r>
      <w:r>
        <w:rPr>
          <w:color w:val="FFFFFF"/>
        </w:rPr>
        <w:t>i</w:t>
      </w:r>
      <w:r>
        <w:t>reliebel.</w:t>
      </w:r>
    </w:p>
    <w:p>
      <w:pPr>
        <w:spacing w:line="240" w:lineRule="auto"/>
        <w:ind w:left="0" w:hanging="2"/>
        <w:contextualSpacing/>
        <w:rPr>
          <w:b/>
        </w:rPr>
      </w:pPr>
      <w:r>
        <w:rPr>
          <w:b/>
        </w:rPr>
        <w:t>Uji</w:t>
      </w:r>
      <w:r>
        <w:rPr>
          <w:b/>
          <w:color w:val="FFFFFF"/>
        </w:rPr>
        <w:t>i</w:t>
      </w:r>
      <w:r>
        <w:rPr>
          <w:b/>
        </w:rPr>
        <w:t>Normalitas</w:t>
      </w:r>
    </w:p>
    <w:p>
      <w:pPr>
        <w:spacing w:line="240" w:lineRule="auto"/>
        <w:ind w:left="0" w:hanging="2"/>
        <w:contextualSpacing/>
        <w:jc w:val="center"/>
        <w:rPr>
          <w:b/>
        </w:rPr>
      </w:pPr>
      <w:r>
        <w:rPr>
          <w:b/>
        </w:rPr>
        <w:t>Tabel 3.</w:t>
      </w:r>
    </w:p>
    <w:p>
      <w:pPr>
        <w:spacing w:line="240" w:lineRule="auto"/>
        <w:ind w:left="0" w:hanging="2"/>
        <w:contextualSpacing/>
        <w:jc w:val="center"/>
        <w:rPr>
          <w:b/>
        </w:rPr>
      </w:pPr>
      <w:r>
        <w:rPr>
          <w:b/>
        </w:rPr>
        <w:t>Uji Normalitas</w:t>
      </w:r>
    </w:p>
    <w:tbl>
      <w:tblPr>
        <w:tblStyle w:val="9"/>
        <w:tblW w:w="0" w:type="auto"/>
        <w:tblInd w:w="993"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129"/>
        <w:gridCol w:w="1199"/>
        <w:gridCol w:w="210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5428" w:type="dxa"/>
            <w:gridSpan w:val="3"/>
            <w:tcBorders>
              <w:top w:val="nil"/>
              <w:left w:val="nil"/>
              <w:bottom w:val="nil"/>
              <w:right w:val="nil"/>
            </w:tcBorders>
            <w:shd w:val="clear" w:color="auto" w:fill="FFFFFF"/>
            <w:vAlign w:val="center"/>
          </w:tcPr>
          <w:p>
            <w:pPr>
              <w:adjustRightInd w:val="0"/>
              <w:spacing w:line="240" w:lineRule="auto"/>
              <w:ind w:left="0" w:right="60" w:hanging="2"/>
              <w:contextualSpacing/>
              <w:jc w:val="center"/>
              <w:rPr>
                <w:rFonts w:ascii="Arial" w:hAnsi="Arial" w:cs="Arial"/>
                <w:color w:val="000000"/>
                <w:sz w:val="18"/>
                <w:szCs w:val="18"/>
              </w:rPr>
            </w:pPr>
            <w:r>
              <w:rPr>
                <w:rFonts w:ascii="Arial" w:hAnsi="Arial" w:cs="Arial"/>
                <w:b/>
                <w:bCs/>
                <w:color w:val="000000"/>
                <w:sz w:val="18"/>
                <w:szCs w:val="18"/>
              </w:rPr>
              <w:t>One-Sample</w:t>
            </w:r>
            <w:r>
              <w:rPr>
                <w:rFonts w:ascii="Arial" w:hAnsi="Arial" w:cs="Arial"/>
                <w:b/>
                <w:bCs/>
                <w:color w:val="FFFFFF"/>
                <w:sz w:val="18"/>
                <w:szCs w:val="18"/>
              </w:rPr>
              <w:t>i</w:t>
            </w:r>
            <w:r>
              <w:rPr>
                <w:rFonts w:ascii="Arial" w:hAnsi="Arial" w:cs="Arial"/>
                <w:b/>
                <w:bCs/>
                <w:color w:val="000000"/>
                <w:sz w:val="18"/>
                <w:szCs w:val="18"/>
              </w:rPr>
              <w:t>Kolmogorov-Smirnov</w:t>
            </w:r>
            <w:r>
              <w:rPr>
                <w:rFonts w:ascii="Arial" w:hAnsi="Arial" w:cs="Arial"/>
                <w:b/>
                <w:bCs/>
                <w:color w:val="FFFFFF"/>
                <w:sz w:val="18"/>
                <w:szCs w:val="18"/>
              </w:rPr>
              <w:t>i</w:t>
            </w:r>
            <w:r>
              <w:rPr>
                <w:rFonts w:ascii="Arial" w:hAnsi="Arial" w:cs="Arial"/>
                <w:b/>
                <w:bCs/>
                <w:color w:val="000000"/>
                <w:sz w:val="18"/>
                <w:szCs w:val="18"/>
              </w:rPr>
              <w:t>Test</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70" w:hRule="atLeast"/>
        </w:trPr>
        <w:tc>
          <w:tcPr>
            <w:tcW w:w="3328" w:type="dxa"/>
            <w:gridSpan w:val="2"/>
            <w:tcBorders>
              <w:top w:val="single" w:color="000000" w:sz="16" w:space="0"/>
              <w:left w:val="single" w:color="000000" w:sz="16" w:space="0"/>
              <w:bottom w:val="single" w:color="000000" w:sz="16" w:space="0"/>
              <w:right w:val="nil"/>
            </w:tcBorders>
            <w:shd w:val="clear" w:color="auto" w:fill="FFFFFF"/>
            <w:vAlign w:val="bottom"/>
          </w:tcPr>
          <w:p>
            <w:pPr>
              <w:adjustRightInd w:val="0"/>
              <w:spacing w:line="240" w:lineRule="auto"/>
              <w:ind w:left="0" w:hanging="2"/>
              <w:contextualSpacing/>
              <w:rPr>
                <w:rFonts w:ascii="Arial" w:hAnsi="Arial" w:cs="Arial"/>
                <w:sz w:val="18"/>
                <w:szCs w:val="18"/>
              </w:rPr>
            </w:pPr>
          </w:p>
        </w:tc>
        <w:tc>
          <w:tcPr>
            <w:tcW w:w="0" w:type="auto"/>
            <w:tcBorders>
              <w:top w:val="single" w:color="000000" w:sz="16" w:space="0"/>
              <w:left w:val="single" w:color="000000" w:sz="16" w:space="0"/>
              <w:bottom w:val="single" w:color="000000" w:sz="16" w:space="0"/>
              <w:right w:val="single" w:color="000000" w:sz="16" w:space="0"/>
            </w:tcBorders>
            <w:shd w:val="clear" w:color="auto" w:fill="FFFFFF"/>
            <w:vAlign w:val="bottom"/>
          </w:tcPr>
          <w:p>
            <w:pPr>
              <w:adjustRightInd w:val="0"/>
              <w:spacing w:line="240" w:lineRule="auto"/>
              <w:ind w:left="0" w:right="60" w:hanging="2"/>
              <w:contextualSpacing/>
              <w:jc w:val="center"/>
              <w:rPr>
                <w:rFonts w:ascii="Arial" w:hAnsi="Arial" w:cs="Arial"/>
                <w:color w:val="000000"/>
                <w:sz w:val="18"/>
                <w:szCs w:val="18"/>
              </w:rPr>
            </w:pPr>
            <w:r>
              <w:rPr>
                <w:rFonts w:ascii="Arial" w:hAnsi="Arial" w:cs="Arial"/>
                <w:color w:val="000000"/>
                <w:sz w:val="18"/>
                <w:szCs w:val="18"/>
              </w:rPr>
              <w:t>Unstandardized</w:t>
            </w:r>
            <w:r>
              <w:rPr>
                <w:rFonts w:ascii="Arial" w:hAnsi="Arial" w:cs="Arial"/>
                <w:color w:val="FFFFFF"/>
                <w:sz w:val="18"/>
                <w:szCs w:val="18"/>
              </w:rPr>
              <w:t>i</w:t>
            </w:r>
            <w:r>
              <w:rPr>
                <w:rFonts w:ascii="Arial" w:hAnsi="Arial" w:cs="Arial"/>
                <w:color w:val="000000"/>
                <w:sz w:val="18"/>
                <w:szCs w:val="18"/>
              </w:rPr>
              <w:t>Residual</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3328" w:type="dxa"/>
            <w:gridSpan w:val="2"/>
            <w:tcBorders>
              <w:top w:val="single" w:color="000000" w:sz="16" w:space="0"/>
              <w:left w:val="single" w:color="000000" w:sz="16" w:space="0"/>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N</w:t>
            </w:r>
          </w:p>
        </w:tc>
        <w:tc>
          <w:tcPr>
            <w:tcW w:w="0" w:type="auto"/>
            <w:tcBorders>
              <w:top w:val="single" w:color="000000" w:sz="16" w:space="0"/>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39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2129" w:type="dxa"/>
            <w:vMerge w:val="restart"/>
            <w:tcBorders>
              <w:top w:val="nil"/>
              <w:left w:val="single" w:color="000000" w:sz="16" w:space="0"/>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Normal</w:t>
            </w:r>
            <w:r>
              <w:rPr>
                <w:rFonts w:ascii="Arial" w:hAnsi="Arial" w:cs="Arial"/>
                <w:color w:val="FFFFFF"/>
                <w:sz w:val="18"/>
                <w:szCs w:val="18"/>
              </w:rPr>
              <w:t>i</w:t>
            </w:r>
            <w:r>
              <w:rPr>
                <w:rFonts w:ascii="Arial" w:hAnsi="Arial" w:cs="Arial"/>
                <w:color w:val="000000"/>
                <w:sz w:val="18"/>
                <w:szCs w:val="18"/>
              </w:rPr>
              <w:t>Parameters</w:t>
            </w:r>
            <w:r>
              <w:rPr>
                <w:rFonts w:ascii="Arial" w:hAnsi="Arial" w:cs="Arial"/>
                <w:color w:val="000000"/>
                <w:sz w:val="18"/>
                <w:szCs w:val="18"/>
                <w:vertAlign w:val="superscript"/>
              </w:rPr>
              <w:t>a,b</w:t>
            </w:r>
          </w:p>
        </w:tc>
        <w:tc>
          <w:tcPr>
            <w:tcW w:w="0" w:type="auto"/>
            <w:tcBorders>
              <w:top w:val="nil"/>
              <w:left w:val="nil"/>
              <w:bottom w:val="nil"/>
              <w:right w:val="single" w:color="000000" w:sz="16" w:space="0"/>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Mean</w:t>
            </w:r>
            <w:r>
              <w:rPr>
                <w:rFonts w:ascii="Arial" w:hAnsi="Arial" w:cs="Arial"/>
                <w:color w:val="FFFFFF"/>
                <w:sz w:val="18"/>
                <w:szCs w:val="18"/>
              </w:rPr>
              <w:t>i</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,0000000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47" w:hRule="atLeast"/>
        </w:trPr>
        <w:tc>
          <w:tcPr>
            <w:tcW w:w="2129" w:type="dxa"/>
            <w:vMerge w:val="continue"/>
            <w:tcBorders>
              <w:top w:val="nil"/>
              <w:left w:val="single" w:color="000000" w:sz="16" w:space="0"/>
              <w:bottom w:val="nil"/>
              <w:right w:val="nil"/>
            </w:tcBorders>
            <w:shd w:val="clear" w:color="auto" w:fill="FFFFFF"/>
          </w:tcPr>
          <w:p>
            <w:pPr>
              <w:adjustRightInd w:val="0"/>
              <w:spacing w:line="240" w:lineRule="auto"/>
              <w:ind w:left="0" w:hanging="2"/>
              <w:contextualSpacing/>
              <w:rPr>
                <w:rFonts w:ascii="Arial" w:hAnsi="Arial" w:cs="Arial"/>
                <w:color w:val="000000"/>
                <w:sz w:val="18"/>
                <w:szCs w:val="18"/>
              </w:rPr>
            </w:pPr>
          </w:p>
        </w:tc>
        <w:tc>
          <w:tcPr>
            <w:tcW w:w="0" w:type="auto"/>
            <w:tcBorders>
              <w:top w:val="nil"/>
              <w:left w:val="nil"/>
              <w:bottom w:val="nil"/>
              <w:right w:val="single" w:color="000000" w:sz="16" w:space="0"/>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Std. Deviation</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1,08448765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2129" w:type="dxa"/>
            <w:vMerge w:val="restart"/>
            <w:tcBorders>
              <w:top w:val="nil"/>
              <w:left w:val="single" w:color="000000" w:sz="16" w:space="0"/>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Most</w:t>
            </w:r>
            <w:r>
              <w:rPr>
                <w:rFonts w:ascii="Arial" w:hAnsi="Arial" w:cs="Arial"/>
                <w:color w:val="FFFFFF"/>
                <w:sz w:val="18"/>
                <w:szCs w:val="18"/>
              </w:rPr>
              <w:t>i</w:t>
            </w:r>
            <w:r>
              <w:rPr>
                <w:rFonts w:ascii="Arial" w:hAnsi="Arial" w:cs="Arial"/>
                <w:color w:val="000000"/>
                <w:sz w:val="18"/>
                <w:szCs w:val="18"/>
              </w:rPr>
              <w:t>Extreme</w:t>
            </w:r>
            <w:r>
              <w:rPr>
                <w:rFonts w:ascii="Arial" w:hAnsi="Arial" w:cs="Arial"/>
                <w:color w:val="FFFFFF"/>
                <w:sz w:val="18"/>
                <w:szCs w:val="18"/>
              </w:rPr>
              <w:t>i</w:t>
            </w:r>
            <w:r>
              <w:rPr>
                <w:rFonts w:ascii="Arial" w:hAnsi="Arial" w:cs="Arial"/>
                <w:color w:val="000000"/>
                <w:sz w:val="18"/>
                <w:szCs w:val="18"/>
              </w:rPr>
              <w:t>Differences</w:t>
            </w:r>
          </w:p>
        </w:tc>
        <w:tc>
          <w:tcPr>
            <w:tcW w:w="0" w:type="auto"/>
            <w:tcBorders>
              <w:top w:val="nil"/>
              <w:left w:val="nil"/>
              <w:bottom w:val="nil"/>
              <w:right w:val="single" w:color="000000" w:sz="16" w:space="0"/>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Absolute</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,077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47" w:hRule="atLeast"/>
        </w:trPr>
        <w:tc>
          <w:tcPr>
            <w:tcW w:w="2129" w:type="dxa"/>
            <w:vMerge w:val="continue"/>
            <w:tcBorders>
              <w:top w:val="nil"/>
              <w:left w:val="single" w:color="000000" w:sz="16" w:space="0"/>
              <w:bottom w:val="nil"/>
              <w:right w:val="nil"/>
            </w:tcBorders>
            <w:shd w:val="clear" w:color="auto" w:fill="FFFFFF"/>
          </w:tcPr>
          <w:p>
            <w:pPr>
              <w:adjustRightInd w:val="0"/>
              <w:spacing w:line="240" w:lineRule="auto"/>
              <w:ind w:left="0" w:hanging="2"/>
              <w:contextualSpacing/>
              <w:rPr>
                <w:rFonts w:ascii="Arial" w:hAnsi="Arial" w:cs="Arial"/>
                <w:color w:val="000000"/>
                <w:sz w:val="18"/>
                <w:szCs w:val="18"/>
              </w:rPr>
            </w:pPr>
          </w:p>
        </w:tc>
        <w:tc>
          <w:tcPr>
            <w:tcW w:w="0" w:type="auto"/>
            <w:tcBorders>
              <w:top w:val="nil"/>
              <w:left w:val="nil"/>
              <w:bottom w:val="nil"/>
              <w:right w:val="single" w:color="000000" w:sz="16" w:space="0"/>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Positive</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,077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147" w:hRule="atLeast"/>
        </w:trPr>
        <w:tc>
          <w:tcPr>
            <w:tcW w:w="2129" w:type="dxa"/>
            <w:vMerge w:val="continue"/>
            <w:tcBorders>
              <w:top w:val="nil"/>
              <w:left w:val="single" w:color="000000" w:sz="16" w:space="0"/>
              <w:bottom w:val="nil"/>
              <w:right w:val="nil"/>
            </w:tcBorders>
            <w:shd w:val="clear" w:color="auto" w:fill="FFFFFF"/>
          </w:tcPr>
          <w:p>
            <w:pPr>
              <w:adjustRightInd w:val="0"/>
              <w:spacing w:line="240" w:lineRule="auto"/>
              <w:ind w:left="0" w:hanging="2"/>
              <w:contextualSpacing/>
              <w:rPr>
                <w:rFonts w:ascii="Arial" w:hAnsi="Arial" w:cs="Arial"/>
                <w:color w:val="000000"/>
                <w:sz w:val="18"/>
                <w:szCs w:val="18"/>
              </w:rPr>
            </w:pPr>
          </w:p>
        </w:tc>
        <w:tc>
          <w:tcPr>
            <w:tcW w:w="0" w:type="auto"/>
            <w:tcBorders>
              <w:top w:val="nil"/>
              <w:left w:val="nil"/>
              <w:bottom w:val="nil"/>
              <w:right w:val="single" w:color="000000" w:sz="16" w:space="0"/>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Negative</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-,056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3328" w:type="dxa"/>
            <w:gridSpan w:val="2"/>
            <w:tcBorders>
              <w:top w:val="nil"/>
              <w:left w:val="single" w:color="000000" w:sz="16" w:space="0"/>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Test Statistic</w:t>
            </w:r>
          </w:p>
        </w:tc>
        <w:tc>
          <w:tcPr>
            <w:tcW w:w="0" w:type="auto"/>
            <w:tcBorders>
              <w:top w:val="nil"/>
              <w:left w:val="single" w:color="000000" w:sz="16" w:space="0"/>
              <w:bottom w:val="nil"/>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,077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3328" w:type="dxa"/>
            <w:gridSpan w:val="2"/>
            <w:tcBorders>
              <w:top w:val="nil"/>
              <w:left w:val="single" w:color="000000" w:sz="16" w:space="0"/>
              <w:bottom w:val="single" w:color="000000" w:sz="16" w:space="0"/>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Asymp. Sig. (2-tailed)</w:t>
            </w:r>
          </w:p>
        </w:tc>
        <w:tc>
          <w:tcPr>
            <w:tcW w:w="0" w:type="auto"/>
            <w:tcBorders>
              <w:top w:val="nil"/>
              <w:left w:val="single" w:color="000000" w:sz="16" w:space="0"/>
              <w:bottom w:val="single" w:color="000000" w:sz="16" w:space="0"/>
              <w:right w:val="single" w:color="000000" w:sz="16" w:space="0"/>
            </w:tcBorders>
            <w:shd w:val="clear" w:color="auto" w:fill="FFFFFF"/>
            <w:vAlign w:val="center"/>
          </w:tcPr>
          <w:p>
            <w:pPr>
              <w:adjustRightInd w:val="0"/>
              <w:spacing w:line="240" w:lineRule="auto"/>
              <w:ind w:left="0" w:right="60" w:hanging="2"/>
              <w:contextualSpacing/>
              <w:jc w:val="right"/>
              <w:rPr>
                <w:rFonts w:ascii="Arial" w:hAnsi="Arial" w:cs="Arial"/>
                <w:color w:val="000000"/>
                <w:sz w:val="18"/>
                <w:szCs w:val="18"/>
              </w:rPr>
            </w:pPr>
            <w:r>
              <w:rPr>
                <w:rFonts w:ascii="Arial" w:hAnsi="Arial" w:cs="Arial"/>
                <w:color w:val="000000"/>
                <w:sz w:val="18"/>
                <w:szCs w:val="18"/>
              </w:rPr>
              <w:t>,200</w:t>
            </w:r>
            <w:r>
              <w:rPr>
                <w:rFonts w:ascii="Arial" w:hAnsi="Arial" w:cs="Arial"/>
                <w:color w:val="000000"/>
                <w:sz w:val="18"/>
                <w:szCs w:val="18"/>
                <w:vertAlign w:val="superscript"/>
              </w:rPr>
              <w:t>c,d</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5428" w:type="dxa"/>
            <w:gridSpan w:val="3"/>
            <w:tcBorders>
              <w:top w:val="nil"/>
              <w:left w:val="nil"/>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a. Test</w:t>
            </w:r>
            <w:r>
              <w:rPr>
                <w:rFonts w:ascii="Arial" w:hAnsi="Arial" w:cs="Arial"/>
                <w:color w:val="FFFFFF"/>
                <w:sz w:val="18"/>
                <w:szCs w:val="18"/>
              </w:rPr>
              <w:t>i</w:t>
            </w:r>
            <w:r>
              <w:rPr>
                <w:rFonts w:ascii="Arial" w:hAnsi="Arial" w:cs="Arial"/>
                <w:color w:val="000000"/>
                <w:sz w:val="18"/>
                <w:szCs w:val="18"/>
              </w:rPr>
              <w:t>distribution is</w:t>
            </w:r>
            <w:r>
              <w:rPr>
                <w:rFonts w:ascii="Arial" w:hAnsi="Arial" w:cs="Arial"/>
                <w:color w:val="FFFFFF"/>
                <w:sz w:val="18"/>
                <w:szCs w:val="18"/>
              </w:rPr>
              <w:t>i</w:t>
            </w:r>
            <w:r>
              <w:rPr>
                <w:rFonts w:ascii="Arial" w:hAnsi="Arial" w:cs="Arial"/>
                <w:color w:val="000000"/>
                <w:sz w:val="18"/>
                <w:szCs w:val="18"/>
              </w:rPr>
              <w:t>Normal.</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5428" w:type="dxa"/>
            <w:gridSpan w:val="3"/>
            <w:tcBorders>
              <w:top w:val="nil"/>
              <w:left w:val="nil"/>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b. Calculated</w:t>
            </w:r>
            <w:r>
              <w:rPr>
                <w:rFonts w:ascii="Arial" w:hAnsi="Arial" w:cs="Arial"/>
                <w:color w:val="FFFFFF"/>
                <w:sz w:val="18"/>
                <w:szCs w:val="18"/>
              </w:rPr>
              <w:t>i</w:t>
            </w:r>
            <w:r>
              <w:rPr>
                <w:rFonts w:ascii="Arial" w:hAnsi="Arial" w:cs="Arial"/>
                <w:color w:val="000000"/>
                <w:sz w:val="18"/>
                <w:szCs w:val="18"/>
              </w:rPr>
              <w:t>from</w:t>
            </w:r>
            <w:r>
              <w:rPr>
                <w:rFonts w:ascii="Arial" w:hAnsi="Arial" w:cs="Arial"/>
                <w:color w:val="FFFFFF"/>
                <w:sz w:val="18"/>
                <w:szCs w:val="18"/>
              </w:rPr>
              <w:t>i</w:t>
            </w:r>
            <w:r>
              <w:rPr>
                <w:rFonts w:ascii="Arial" w:hAnsi="Arial" w:cs="Arial"/>
                <w:color w:val="000000"/>
                <w:sz w:val="18"/>
                <w:szCs w:val="18"/>
              </w:rPr>
              <w:t>data.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45" w:hRule="atLeast"/>
        </w:trPr>
        <w:tc>
          <w:tcPr>
            <w:tcW w:w="5428" w:type="dxa"/>
            <w:gridSpan w:val="3"/>
            <w:tcBorders>
              <w:top w:val="nil"/>
              <w:left w:val="nil"/>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c. Lilliefors</w:t>
            </w:r>
            <w:r>
              <w:rPr>
                <w:rFonts w:ascii="Arial" w:hAnsi="Arial" w:cs="Arial"/>
                <w:color w:val="FFFFFF"/>
                <w:sz w:val="18"/>
                <w:szCs w:val="18"/>
              </w:rPr>
              <w:t>i</w:t>
            </w:r>
            <w:r>
              <w:rPr>
                <w:rFonts w:ascii="Arial" w:hAnsi="Arial" w:cs="Arial"/>
                <w:color w:val="000000"/>
                <w:sz w:val="18"/>
                <w:szCs w:val="18"/>
              </w:rPr>
              <w:t>Significance</w:t>
            </w:r>
            <w:r>
              <w:rPr>
                <w:rFonts w:ascii="Arial" w:hAnsi="Arial" w:cs="Arial"/>
                <w:color w:val="FFFFFF"/>
                <w:sz w:val="18"/>
                <w:szCs w:val="18"/>
              </w:rPr>
              <w:t>i</w:t>
            </w:r>
            <w:r>
              <w:rPr>
                <w:rFonts w:ascii="Arial" w:hAnsi="Arial" w:cs="Arial"/>
                <w:color w:val="000000"/>
                <w:sz w:val="18"/>
                <w:szCs w:val="18"/>
              </w:rPr>
              <w:t>Correction.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325" w:hRule="atLeast"/>
        </w:trPr>
        <w:tc>
          <w:tcPr>
            <w:tcW w:w="5428" w:type="dxa"/>
            <w:gridSpan w:val="3"/>
            <w:tcBorders>
              <w:top w:val="nil"/>
              <w:left w:val="nil"/>
              <w:bottom w:val="nil"/>
              <w:right w:val="nil"/>
            </w:tcBorders>
            <w:shd w:val="clear" w:color="auto" w:fill="FFFFFF"/>
          </w:tcPr>
          <w:p>
            <w:pPr>
              <w:adjustRightInd w:val="0"/>
              <w:spacing w:line="240" w:lineRule="auto"/>
              <w:ind w:left="0" w:right="60" w:hanging="2"/>
              <w:contextualSpacing/>
              <w:rPr>
                <w:rFonts w:ascii="Arial" w:hAnsi="Arial" w:cs="Arial"/>
                <w:color w:val="000000"/>
                <w:sz w:val="18"/>
                <w:szCs w:val="18"/>
              </w:rPr>
            </w:pPr>
            <w:r>
              <w:rPr>
                <w:rFonts w:ascii="Arial" w:hAnsi="Arial" w:cs="Arial"/>
                <w:color w:val="000000"/>
                <w:sz w:val="18"/>
                <w:szCs w:val="18"/>
              </w:rPr>
              <w:t>d. This is</w:t>
            </w:r>
            <w:r>
              <w:rPr>
                <w:rFonts w:ascii="Arial" w:hAnsi="Arial" w:cs="Arial"/>
                <w:color w:val="FFFFFF"/>
                <w:sz w:val="18"/>
                <w:szCs w:val="18"/>
              </w:rPr>
              <w:t>i</w:t>
            </w:r>
            <w:r>
              <w:rPr>
                <w:rFonts w:ascii="Arial" w:hAnsi="Arial" w:cs="Arial"/>
                <w:color w:val="000000"/>
                <w:sz w:val="18"/>
                <w:szCs w:val="18"/>
              </w:rPr>
              <w:t>a lower bound</w:t>
            </w:r>
            <w:r>
              <w:rPr>
                <w:rFonts w:ascii="Arial" w:hAnsi="Arial" w:cs="Arial"/>
                <w:color w:val="FFFFFF"/>
                <w:sz w:val="18"/>
                <w:szCs w:val="18"/>
              </w:rPr>
              <w:t>i</w:t>
            </w:r>
            <w:r>
              <w:rPr>
                <w:rFonts w:ascii="Arial" w:hAnsi="Arial" w:cs="Arial"/>
                <w:color w:val="000000"/>
                <w:sz w:val="18"/>
                <w:szCs w:val="18"/>
              </w:rPr>
              <w:t>of</w:t>
            </w:r>
            <w:r>
              <w:rPr>
                <w:rFonts w:ascii="Arial" w:hAnsi="Arial" w:cs="Arial"/>
                <w:color w:val="FFFFFF"/>
                <w:sz w:val="18"/>
                <w:szCs w:val="18"/>
              </w:rPr>
              <w:t>i</w:t>
            </w:r>
            <w:r>
              <w:rPr>
                <w:rFonts w:ascii="Arial" w:hAnsi="Arial" w:cs="Arial"/>
                <w:color w:val="000000"/>
                <w:sz w:val="18"/>
                <w:szCs w:val="18"/>
              </w:rPr>
              <w:t>the</w:t>
            </w:r>
            <w:r>
              <w:rPr>
                <w:rFonts w:ascii="Arial" w:hAnsi="Arial" w:cs="Arial"/>
                <w:color w:val="FFFFFF"/>
                <w:sz w:val="18"/>
                <w:szCs w:val="18"/>
              </w:rPr>
              <w:t>i</w:t>
            </w:r>
            <w:r>
              <w:rPr>
                <w:rFonts w:ascii="Arial" w:hAnsi="Arial" w:cs="Arial"/>
                <w:color w:val="000000"/>
                <w:sz w:val="18"/>
                <w:szCs w:val="18"/>
              </w:rPr>
              <w:t>true</w:t>
            </w:r>
            <w:r>
              <w:rPr>
                <w:rFonts w:ascii="Arial" w:hAnsi="Arial" w:cs="Arial"/>
                <w:color w:val="FFFFFF"/>
                <w:sz w:val="18"/>
                <w:szCs w:val="18"/>
              </w:rPr>
              <w:t>i</w:t>
            </w:r>
            <w:r>
              <w:rPr>
                <w:rFonts w:ascii="Arial" w:hAnsi="Arial" w:cs="Arial"/>
                <w:color w:val="000000"/>
                <w:sz w:val="18"/>
                <w:szCs w:val="18"/>
              </w:rPr>
              <w:t>significance.</w:t>
            </w:r>
          </w:p>
        </w:tc>
      </w:tr>
    </w:tbl>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b/>
        </w:rPr>
      </w:pPr>
      <w:r>
        <w:t>Dengan hasil data yang diperoleh</w:t>
      </w:r>
      <w:r>
        <w:rPr>
          <w:color w:val="FFFFFF"/>
        </w:rPr>
        <w:t>i</w:t>
      </w:r>
      <w:r>
        <w:t>nilai</w:t>
      </w:r>
      <w:r>
        <w:rPr>
          <w:color w:val="FFFFFF"/>
        </w:rPr>
        <w:t>i</w:t>
      </w:r>
      <w:r>
        <w:t>value</w:t>
      </w:r>
      <w:r>
        <w:rPr>
          <w:color w:val="FFFFFF"/>
        </w:rPr>
        <w:t>i</w:t>
      </w:r>
      <w:r>
        <w:t>Asymp, Sig.</w:t>
      </w:r>
      <w:r>
        <w:rPr>
          <w:color w:val="FFFFFF"/>
        </w:rPr>
        <w:t>i</w:t>
      </w:r>
      <w:r>
        <w:t>(2 tailed) sebesar</w:t>
      </w:r>
      <w:r>
        <w:rPr>
          <w:color w:val="FFFFFF"/>
        </w:rPr>
        <w:t>i</w:t>
      </w:r>
      <w:r>
        <w:t>0,200 (0,200 &gt; 0,05)</w:t>
      </w:r>
      <w:r>
        <w:rPr>
          <w:color w:val="FFFFFF"/>
        </w:rPr>
        <w:t>i</w:t>
      </w:r>
      <w:r>
        <w:t>sehingga data</w:t>
      </w:r>
      <w:r>
        <w:rPr>
          <w:color w:val="FFFFFF"/>
        </w:rPr>
        <w:t>i</w:t>
      </w:r>
      <w:r>
        <w:t>berdistribusi</w:t>
      </w:r>
      <w:r>
        <w:rPr>
          <w:color w:val="FFFFFF"/>
        </w:rPr>
        <w:t>i</w:t>
      </w:r>
      <w:r>
        <w:t>normal</w:t>
      </w:r>
    </w:p>
    <w:p>
      <w:pPr>
        <w:spacing w:line="240" w:lineRule="auto"/>
        <w:ind w:left="0" w:hanging="2"/>
        <w:rPr>
          <w:b/>
        </w:rPr>
      </w:pPr>
      <w:r>
        <w:rPr>
          <w:b/>
        </w:rPr>
        <w:t>Uji</w:t>
      </w:r>
      <w:r>
        <w:rPr>
          <w:b/>
          <w:color w:val="FFFFFF"/>
        </w:rPr>
        <w:t>i</w:t>
      </w:r>
      <w:r>
        <w:rPr>
          <w:b/>
        </w:rPr>
        <w:t>Multikolinearitas</w:t>
      </w:r>
    </w:p>
    <w:p>
      <w:pPr>
        <w:spacing w:line="240" w:lineRule="auto"/>
        <w:ind w:left="0" w:hanging="2"/>
        <w:jc w:val="center"/>
        <w:rPr>
          <w:b/>
        </w:rPr>
      </w:pPr>
      <w:r>
        <w:rPr>
          <w:b/>
        </w:rPr>
        <w:t>Tabel 4.</w:t>
      </w:r>
    </w:p>
    <w:p>
      <w:pPr>
        <w:spacing w:line="240" w:lineRule="auto"/>
        <w:ind w:left="0" w:hanging="2"/>
        <w:jc w:val="center"/>
        <w:rPr>
          <w:b/>
        </w:rPr>
      </w:pPr>
      <w:r>
        <w:rPr>
          <w:b/>
        </w:rPr>
        <w:t>Uji Multikolinearitas</w:t>
      </w:r>
    </w:p>
    <w:tbl>
      <w:tblPr>
        <w:tblStyle w:val="9"/>
        <w:tblW w:w="0" w:type="auto"/>
        <w:tblInd w:w="426"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68"/>
        <w:gridCol w:w="1393"/>
        <w:gridCol w:w="1027"/>
        <w:gridCol w:w="1121"/>
        <w:gridCol w:w="1948"/>
        <w:gridCol w:w="1042"/>
        <w:gridCol w:w="60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cantSplit/>
        </w:trPr>
        <w:tc>
          <w:tcPr>
            <w:tcW w:w="0" w:type="auto"/>
            <w:gridSpan w:val="7"/>
            <w:tcBorders>
              <w:top w:val="nil"/>
              <w:left w:val="nil"/>
              <w:bottom w:val="nil"/>
              <w:right w:val="nil"/>
            </w:tcBorders>
            <w:shd w:val="clear" w:color="auto" w:fill="FFFFFF"/>
            <w:vAlign w:val="center"/>
          </w:tcPr>
          <w:p>
            <w:pPr>
              <w:adjustRightInd w:val="0"/>
              <w:ind w:left="0" w:right="60" w:hanging="2"/>
              <w:jc w:val="center"/>
              <w:rPr>
                <w:color w:val="000000"/>
                <w:sz w:val="18"/>
                <w:szCs w:val="18"/>
              </w:rPr>
            </w:pPr>
            <w:r>
              <w:rPr>
                <w:b/>
                <w:bCs/>
                <w:color w:val="000000"/>
                <w:sz w:val="18"/>
                <w:szCs w:val="18"/>
              </w:rPr>
              <w:t>Coefficients</w:t>
            </w:r>
            <w:r>
              <w:rPr>
                <w:b/>
                <w:bCs/>
                <w:color w:val="000000"/>
                <w:sz w:val="18"/>
                <w:szCs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restart"/>
            <w:tcBorders>
              <w:top w:val="single" w:color="000000" w:sz="16" w:space="0"/>
              <w:left w:val="single" w:color="000000" w:sz="16" w:space="0"/>
              <w:bottom w:val="nil"/>
              <w:right w:val="nil"/>
            </w:tcBorders>
            <w:shd w:val="clear" w:color="auto" w:fill="FFFFFF"/>
            <w:vAlign w:val="bottom"/>
          </w:tcPr>
          <w:p>
            <w:pPr>
              <w:adjustRightInd w:val="0"/>
              <w:ind w:left="0" w:right="60" w:hanging="2"/>
              <w:rPr>
                <w:color w:val="000000"/>
                <w:sz w:val="18"/>
                <w:szCs w:val="18"/>
              </w:rPr>
            </w:pPr>
            <w:r>
              <w:rPr>
                <w:color w:val="000000"/>
                <w:sz w:val="18"/>
                <w:szCs w:val="18"/>
              </w:rPr>
              <w:t>Model</w:t>
            </w:r>
          </w:p>
        </w:tc>
        <w:tc>
          <w:tcPr>
            <w:tcW w:w="0" w:type="auto"/>
            <w:gridSpan w:val="2"/>
            <w:tcBorders>
              <w:top w:val="single" w:color="000000" w:sz="16" w:space="0"/>
              <w:left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Unstandardized</w:t>
            </w:r>
            <w:r>
              <w:rPr>
                <w:color w:val="FFFFFF"/>
                <w:sz w:val="18"/>
                <w:szCs w:val="18"/>
              </w:rPr>
              <w:t>i</w:t>
            </w:r>
            <w:r>
              <w:rPr>
                <w:color w:val="000000"/>
                <w:sz w:val="18"/>
                <w:szCs w:val="18"/>
              </w:rPr>
              <w:t>Coefficients</w:t>
            </w:r>
          </w:p>
        </w:tc>
        <w:tc>
          <w:tcPr>
            <w:tcW w:w="0" w:type="auto"/>
            <w:tcBorders>
              <w:top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Standardized</w:t>
            </w:r>
            <w:r>
              <w:rPr>
                <w:color w:val="FFFFFF"/>
                <w:sz w:val="18"/>
                <w:szCs w:val="18"/>
              </w:rPr>
              <w:t>i</w:t>
            </w:r>
            <w:r>
              <w:rPr>
                <w:color w:val="000000"/>
                <w:sz w:val="18"/>
                <w:szCs w:val="18"/>
              </w:rPr>
              <w:t>Coefficients</w:t>
            </w:r>
          </w:p>
        </w:tc>
        <w:tc>
          <w:tcPr>
            <w:tcW w:w="0" w:type="auto"/>
            <w:gridSpan w:val="2"/>
            <w:tcBorders>
              <w:top w:val="single" w:color="000000" w:sz="16" w:space="0"/>
              <w:right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Collinearity</w:t>
            </w:r>
            <w:r>
              <w:rPr>
                <w:color w:val="FFFFFF"/>
                <w:sz w:val="18"/>
                <w:szCs w:val="18"/>
              </w:rPr>
              <w:t>i</w:t>
            </w:r>
            <w:r>
              <w:rPr>
                <w:color w:val="000000"/>
                <w:sz w:val="18"/>
                <w:szCs w:val="18"/>
              </w:rPr>
              <w:t>Statistics</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2"/>
            <w:vMerge w:val="continue"/>
            <w:tcBorders>
              <w:top w:val="single" w:color="000000" w:sz="16" w:space="0"/>
              <w:left w:val="single" w:color="000000" w:sz="16" w:space="0"/>
              <w:bottom w:val="nil"/>
              <w:right w:val="nil"/>
            </w:tcBorders>
            <w:shd w:val="clear" w:color="auto" w:fill="FFFFFF"/>
            <w:vAlign w:val="bottom"/>
          </w:tcPr>
          <w:p>
            <w:pPr>
              <w:adjustRightInd w:val="0"/>
              <w:ind w:left="0" w:hanging="2"/>
              <w:rPr>
                <w:color w:val="000000"/>
                <w:sz w:val="18"/>
                <w:szCs w:val="18"/>
              </w:rPr>
            </w:pPr>
          </w:p>
        </w:tc>
        <w:tc>
          <w:tcPr>
            <w:tcW w:w="0" w:type="auto"/>
            <w:tcBorders>
              <w:left w:val="single" w:color="000000" w:sz="16" w:space="0"/>
              <w:bottom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B</w:t>
            </w:r>
          </w:p>
        </w:tc>
        <w:tc>
          <w:tcPr>
            <w:tcW w:w="0" w:type="auto"/>
            <w:tcBorders>
              <w:bottom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Std. Error</w:t>
            </w:r>
          </w:p>
        </w:tc>
        <w:tc>
          <w:tcPr>
            <w:tcW w:w="0" w:type="auto"/>
            <w:tcBorders>
              <w:bottom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Beta</w:t>
            </w:r>
          </w:p>
        </w:tc>
        <w:tc>
          <w:tcPr>
            <w:tcW w:w="0" w:type="auto"/>
            <w:tcBorders>
              <w:bottom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Tolerance</w:t>
            </w:r>
            <w:r>
              <w:rPr>
                <w:color w:val="FFFFFF"/>
                <w:sz w:val="18"/>
                <w:szCs w:val="18"/>
              </w:rPr>
              <w:t>i</w:t>
            </w:r>
          </w:p>
        </w:tc>
        <w:tc>
          <w:tcPr>
            <w:tcW w:w="0" w:type="auto"/>
            <w:tcBorders>
              <w:bottom w:val="single" w:color="000000" w:sz="16" w:space="0"/>
              <w:right w:val="single" w:color="000000" w:sz="16" w:space="0"/>
            </w:tcBorders>
            <w:shd w:val="clear" w:color="auto" w:fill="FFFFFF"/>
            <w:vAlign w:val="bottom"/>
          </w:tcPr>
          <w:p>
            <w:pPr>
              <w:adjustRightInd w:val="0"/>
              <w:ind w:left="0" w:right="60" w:hanging="2"/>
              <w:jc w:val="center"/>
              <w:rPr>
                <w:color w:val="000000"/>
                <w:sz w:val="18"/>
                <w:szCs w:val="18"/>
              </w:rPr>
            </w:pPr>
            <w:r>
              <w:rPr>
                <w:color w:val="000000"/>
                <w:sz w:val="18"/>
                <w:szCs w:val="18"/>
              </w:rPr>
              <w:t>VIF</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tcPr>
          <w:p>
            <w:pPr>
              <w:adjustRightInd w:val="0"/>
              <w:ind w:left="0" w:right="60" w:hanging="2"/>
              <w:rPr>
                <w:color w:val="000000"/>
                <w:sz w:val="18"/>
                <w:szCs w:val="18"/>
              </w:rPr>
            </w:pPr>
            <w:r>
              <w:rPr>
                <w:color w:val="000000"/>
                <w:sz w:val="18"/>
                <w:szCs w:val="18"/>
              </w:rPr>
              <w:t>1</w:t>
            </w:r>
          </w:p>
        </w:tc>
        <w:tc>
          <w:tcPr>
            <w:tcW w:w="0" w:type="auto"/>
            <w:tcBorders>
              <w:top w:val="single" w:color="000000" w:sz="16" w:space="0"/>
              <w:left w:val="nil"/>
              <w:bottom w:val="nil"/>
              <w:right w:val="single" w:color="000000" w:sz="16" w:space="0"/>
            </w:tcBorders>
            <w:shd w:val="clear" w:color="auto" w:fill="FFFFFF"/>
          </w:tcPr>
          <w:p>
            <w:pPr>
              <w:adjustRightInd w:val="0"/>
              <w:ind w:left="0" w:right="60" w:hanging="2"/>
              <w:rPr>
                <w:color w:val="000000"/>
                <w:sz w:val="18"/>
                <w:szCs w:val="18"/>
              </w:rPr>
            </w:pPr>
            <w:r>
              <w:rPr>
                <w:color w:val="000000"/>
                <w:sz w:val="18"/>
                <w:szCs w:val="18"/>
              </w:rPr>
              <w:t>(Constant)</w:t>
            </w:r>
          </w:p>
        </w:tc>
        <w:tc>
          <w:tcPr>
            <w:tcW w:w="0" w:type="auto"/>
            <w:tcBorders>
              <w:top w:val="single" w:color="000000" w:sz="16" w:space="0"/>
              <w:left w:val="single" w:color="000000" w:sz="16" w:space="0"/>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20,681</w:t>
            </w:r>
          </w:p>
        </w:tc>
        <w:tc>
          <w:tcPr>
            <w:tcW w:w="0" w:type="auto"/>
            <w:tcBorders>
              <w:top w:val="single" w:color="000000" w:sz="16" w:space="0"/>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4,125</w:t>
            </w:r>
          </w:p>
        </w:tc>
        <w:tc>
          <w:tcPr>
            <w:tcW w:w="0" w:type="auto"/>
            <w:tcBorders>
              <w:top w:val="single" w:color="000000" w:sz="16" w:space="0"/>
              <w:bottom w:val="nil"/>
            </w:tcBorders>
            <w:shd w:val="clear" w:color="auto" w:fill="FFFFFF"/>
            <w:vAlign w:val="center"/>
          </w:tcPr>
          <w:p>
            <w:pPr>
              <w:adjustRightInd w:val="0"/>
              <w:ind w:left="0" w:hanging="2"/>
              <w:rPr>
                <w:sz w:val="18"/>
                <w:szCs w:val="18"/>
              </w:rPr>
            </w:pPr>
          </w:p>
        </w:tc>
        <w:tc>
          <w:tcPr>
            <w:tcW w:w="0" w:type="auto"/>
            <w:tcBorders>
              <w:top w:val="single" w:color="000000" w:sz="16" w:space="0"/>
              <w:bottom w:val="nil"/>
            </w:tcBorders>
            <w:shd w:val="clear" w:color="auto" w:fill="FFFFFF"/>
            <w:vAlign w:val="center"/>
          </w:tcPr>
          <w:p>
            <w:pPr>
              <w:adjustRightInd w:val="0"/>
              <w:ind w:left="0" w:hanging="2"/>
              <w:rPr>
                <w:sz w:val="18"/>
                <w:szCs w:val="18"/>
              </w:rPr>
            </w:pPr>
          </w:p>
        </w:tc>
        <w:tc>
          <w:tcPr>
            <w:tcW w:w="0" w:type="auto"/>
            <w:tcBorders>
              <w:top w:val="single" w:color="000000" w:sz="16" w:space="0"/>
              <w:bottom w:val="nil"/>
              <w:right w:val="single" w:color="000000" w:sz="16" w:space="0"/>
            </w:tcBorders>
            <w:shd w:val="clear" w:color="auto" w:fill="FFFFFF"/>
            <w:vAlign w:val="center"/>
          </w:tcPr>
          <w:p>
            <w:pPr>
              <w:adjustRightInd w:val="0"/>
              <w:ind w:left="0" w:hanging="2"/>
              <w:rPr>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sz w:val="18"/>
                <w:szCs w:val="18"/>
              </w:rPr>
            </w:pPr>
          </w:p>
        </w:tc>
        <w:tc>
          <w:tcPr>
            <w:tcW w:w="0" w:type="auto"/>
            <w:tcBorders>
              <w:top w:val="nil"/>
              <w:left w:val="nil"/>
              <w:bottom w:val="nil"/>
              <w:right w:val="single" w:color="000000" w:sz="16" w:space="0"/>
            </w:tcBorders>
            <w:shd w:val="clear" w:color="auto" w:fill="FFFFFF"/>
          </w:tcPr>
          <w:p>
            <w:pPr>
              <w:adjustRightInd w:val="0"/>
              <w:ind w:left="0" w:right="60" w:hanging="2"/>
              <w:rPr>
                <w:color w:val="000000"/>
                <w:sz w:val="18"/>
                <w:szCs w:val="18"/>
              </w:rPr>
            </w:pPr>
            <w:r>
              <w:rPr>
                <w:color w:val="000000"/>
                <w:sz w:val="18"/>
                <w:szCs w:val="18"/>
              </w:rPr>
              <w:t>Kepemimpinan</w:t>
            </w:r>
          </w:p>
        </w:tc>
        <w:tc>
          <w:tcPr>
            <w:tcW w:w="0" w:type="auto"/>
            <w:tcBorders>
              <w:top w:val="nil"/>
              <w:left w:val="single" w:color="000000" w:sz="16" w:space="0"/>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-,090</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,113</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-,132</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,967</w:t>
            </w:r>
          </w:p>
        </w:tc>
        <w:tc>
          <w:tcPr>
            <w:tcW w:w="0" w:type="auto"/>
            <w:tcBorders>
              <w:top w:val="nil"/>
              <w:bottom w:val="nil"/>
              <w:right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1,034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color w:val="000000"/>
                <w:sz w:val="18"/>
                <w:szCs w:val="18"/>
              </w:rPr>
            </w:pPr>
          </w:p>
        </w:tc>
        <w:tc>
          <w:tcPr>
            <w:tcW w:w="0" w:type="auto"/>
            <w:tcBorders>
              <w:top w:val="nil"/>
              <w:left w:val="nil"/>
              <w:bottom w:val="nil"/>
              <w:right w:val="single" w:color="000000" w:sz="16" w:space="0"/>
            </w:tcBorders>
            <w:shd w:val="clear" w:color="auto" w:fill="FFFFFF"/>
          </w:tcPr>
          <w:p>
            <w:pPr>
              <w:adjustRightInd w:val="0"/>
              <w:ind w:left="0" w:right="60" w:hanging="2"/>
              <w:rPr>
                <w:color w:val="000000"/>
                <w:sz w:val="18"/>
                <w:szCs w:val="18"/>
              </w:rPr>
            </w:pPr>
            <w:r>
              <w:rPr>
                <w:color w:val="000000"/>
                <w:sz w:val="18"/>
                <w:szCs w:val="18"/>
              </w:rPr>
              <w:t>Budaya Kerja</w:t>
            </w:r>
          </w:p>
        </w:tc>
        <w:tc>
          <w:tcPr>
            <w:tcW w:w="0" w:type="auto"/>
            <w:tcBorders>
              <w:top w:val="nil"/>
              <w:left w:val="single" w:color="000000" w:sz="16" w:space="0"/>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,086</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,096</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,158</w:t>
            </w:r>
          </w:p>
        </w:tc>
        <w:tc>
          <w:tcPr>
            <w:tcW w:w="0" w:type="auto"/>
            <w:tcBorders>
              <w:top w:val="nil"/>
              <w:bottom w:val="nil"/>
            </w:tcBorders>
            <w:shd w:val="clear" w:color="auto" w:fill="FFFFFF"/>
            <w:vAlign w:val="center"/>
          </w:tcPr>
          <w:p>
            <w:pPr>
              <w:adjustRightInd w:val="0"/>
              <w:ind w:left="0" w:right="60" w:hanging="2"/>
              <w:jc w:val="right"/>
              <w:rPr>
                <w:color w:val="000000"/>
                <w:sz w:val="18"/>
                <w:szCs w:val="18"/>
              </w:rPr>
            </w:pPr>
            <w:r>
              <w:rPr>
                <w:color w:val="000000"/>
                <w:sz w:val="18"/>
                <w:szCs w:val="18"/>
              </w:rPr>
              <w:t>,859</w:t>
            </w:r>
          </w:p>
        </w:tc>
        <w:tc>
          <w:tcPr>
            <w:tcW w:w="0" w:type="auto"/>
            <w:tcBorders>
              <w:top w:val="nil"/>
              <w:bottom w:val="nil"/>
              <w:right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1,165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color w:val="000000"/>
                <w:sz w:val="18"/>
                <w:szCs w:val="18"/>
              </w:rPr>
            </w:pPr>
          </w:p>
        </w:tc>
        <w:tc>
          <w:tcPr>
            <w:tcW w:w="0" w:type="auto"/>
            <w:tcBorders>
              <w:top w:val="nil"/>
              <w:left w:val="nil"/>
              <w:bottom w:val="single" w:color="000000" w:sz="16" w:space="0"/>
              <w:right w:val="single" w:color="000000" w:sz="16" w:space="0"/>
            </w:tcBorders>
            <w:shd w:val="clear" w:color="auto" w:fill="FFFFFF"/>
          </w:tcPr>
          <w:p>
            <w:pPr>
              <w:adjustRightInd w:val="0"/>
              <w:ind w:left="0" w:right="60" w:hanging="2"/>
              <w:rPr>
                <w:color w:val="000000"/>
                <w:sz w:val="18"/>
                <w:szCs w:val="18"/>
              </w:rPr>
            </w:pPr>
            <w:r>
              <w:rPr>
                <w:color w:val="000000"/>
                <w:sz w:val="18"/>
                <w:szCs w:val="18"/>
              </w:rPr>
              <w:t>Lingkungan Kerja</w:t>
            </w:r>
          </w:p>
        </w:tc>
        <w:tc>
          <w:tcPr>
            <w:tcW w:w="0" w:type="auto"/>
            <w:tcBorders>
              <w:top w:val="nil"/>
              <w:left w:val="single" w:color="000000" w:sz="16" w:space="0"/>
              <w:bottom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-,141</w:t>
            </w:r>
          </w:p>
        </w:tc>
        <w:tc>
          <w:tcPr>
            <w:tcW w:w="0" w:type="auto"/>
            <w:tcBorders>
              <w:top w:val="nil"/>
              <w:bottom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,112</w:t>
            </w:r>
          </w:p>
        </w:tc>
        <w:tc>
          <w:tcPr>
            <w:tcW w:w="0" w:type="auto"/>
            <w:tcBorders>
              <w:top w:val="nil"/>
              <w:bottom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-,221</w:t>
            </w:r>
          </w:p>
        </w:tc>
        <w:tc>
          <w:tcPr>
            <w:tcW w:w="0" w:type="auto"/>
            <w:tcBorders>
              <w:top w:val="nil"/>
              <w:bottom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,870</w:t>
            </w:r>
          </w:p>
        </w:tc>
        <w:tc>
          <w:tcPr>
            <w:tcW w:w="0" w:type="auto"/>
            <w:tcBorders>
              <w:top w:val="nil"/>
              <w:bottom w:val="single" w:color="000000" w:sz="16" w:space="0"/>
              <w:right w:val="single" w:color="000000" w:sz="16" w:space="0"/>
            </w:tcBorders>
            <w:shd w:val="clear" w:color="auto" w:fill="FFFFFF"/>
            <w:vAlign w:val="center"/>
          </w:tcPr>
          <w:p>
            <w:pPr>
              <w:adjustRightInd w:val="0"/>
              <w:ind w:left="0" w:right="60" w:hanging="2"/>
              <w:jc w:val="right"/>
              <w:rPr>
                <w:color w:val="000000"/>
                <w:sz w:val="18"/>
                <w:szCs w:val="18"/>
              </w:rPr>
            </w:pPr>
            <w:r>
              <w:rPr>
                <w:color w:val="000000"/>
                <w:sz w:val="18"/>
                <w:szCs w:val="18"/>
              </w:rPr>
              <w:t>1,149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gridSpan w:val="7"/>
            <w:tcBorders>
              <w:top w:val="nil"/>
              <w:left w:val="nil"/>
              <w:bottom w:val="nil"/>
              <w:right w:val="nil"/>
            </w:tcBorders>
            <w:shd w:val="clear" w:color="auto" w:fill="FFFFFF"/>
          </w:tcPr>
          <w:p>
            <w:pPr>
              <w:adjustRightInd w:val="0"/>
              <w:ind w:left="0" w:right="60" w:hanging="2"/>
              <w:rPr>
                <w:color w:val="000000"/>
                <w:sz w:val="18"/>
                <w:szCs w:val="18"/>
              </w:rPr>
            </w:pPr>
            <w:r>
              <w:rPr>
                <w:color w:val="000000"/>
                <w:sz w:val="18"/>
                <w:szCs w:val="18"/>
              </w:rPr>
              <w:t>a. Dependent Variable: kinerja karyawan</w:t>
            </w:r>
          </w:p>
        </w:tc>
      </w:tr>
    </w:tbl>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rPr>
          <w:color w:val="000000" w:themeColor="text1"/>
          <w14:textFill>
            <w14:solidFill>
              <w14:schemeClr w14:val="tx1"/>
            </w14:solidFill>
          </w14:textFill>
        </w:rPr>
        <w:t xml:space="preserve">Berdasarkan tabel diatas telah </w:t>
      </w:r>
      <w:r>
        <w:t>menunjukkan bahwa</w:t>
      </w:r>
      <w:r>
        <w:rPr>
          <w:color w:val="FFFFFF"/>
        </w:rPr>
        <w:t>i</w:t>
      </w:r>
      <w:r>
        <w:t>data dari nilai</w:t>
      </w:r>
      <w:r>
        <w:rPr>
          <w:color w:val="FFFFFF"/>
        </w:rPr>
        <w:t>i</w:t>
      </w:r>
      <w:r>
        <w:t>VIF variabel Kepemimpinan sebesar 1.034, variabel Budaya Kerja sebesar 1.165 dan varibel Lingkungan Kerja 1.149 dari ketiga variabel tersebut memiliki nilai &lt; 10. Untuk nilai toleransi dari variabel kepemimpinan sebesar</w:t>
      </w:r>
      <w:r>
        <w:rPr>
          <w:color w:val="FFFFFF"/>
        </w:rPr>
        <w:t>i</w:t>
      </w:r>
      <w:r>
        <w:t>0.967, variabel</w:t>
      </w:r>
      <w:r>
        <w:rPr>
          <w:color w:val="FFFFFF"/>
        </w:rPr>
        <w:t>i</w:t>
      </w:r>
      <w:r>
        <w:t>budaya kerja</w:t>
      </w:r>
      <w:r>
        <w:rPr>
          <w:color w:val="FFFFFF"/>
        </w:rPr>
        <w:t>i</w:t>
      </w:r>
      <w:r>
        <w:t>sebesar 0.859 dan</w:t>
      </w:r>
      <w:r>
        <w:rPr>
          <w:color w:val="FFFFFF"/>
        </w:rPr>
        <w:t>i</w:t>
      </w:r>
      <w:r>
        <w:t>variabel lingkungan kerja</w:t>
      </w:r>
      <w:r>
        <w:rPr>
          <w:color w:val="FFFFFF"/>
        </w:rPr>
        <w:t>i</w:t>
      </w:r>
      <w:r>
        <w:t>sebesar</w:t>
      </w:r>
      <w:r>
        <w:rPr>
          <w:color w:val="FFFFFF"/>
        </w:rPr>
        <w:t>i</w:t>
      </w:r>
      <w:r>
        <w:t>0.870 dari</w:t>
      </w:r>
      <w:r>
        <w:rPr>
          <w:color w:val="FFFFFF"/>
        </w:rPr>
        <w:t>i</w:t>
      </w:r>
      <w:r>
        <w:t>ketiga variabel</w:t>
      </w:r>
      <w:r>
        <w:rPr>
          <w:color w:val="FFFFFF"/>
        </w:rPr>
        <w:t>i</w:t>
      </w:r>
      <w:r>
        <w:t>tersebut memiliki nilai</w:t>
      </w:r>
      <w:r>
        <w:rPr>
          <w:color w:val="FFFFFF"/>
        </w:rPr>
        <w:t>i</w:t>
      </w:r>
      <w:r>
        <w:t>toleransi &gt; 0.10. Dari hasil tersebut dapat dikatakan tidak terjadi multikolinearitas.</w:t>
      </w:r>
    </w:p>
    <w:p>
      <w:pPr>
        <w:spacing w:line="240" w:lineRule="auto"/>
        <w:ind w:left="0" w:hanging="2"/>
        <w:rPr>
          <w:b/>
        </w:rPr>
      </w:pPr>
      <w:r>
        <w:rPr>
          <w:b/>
        </w:rPr>
        <w:t>Uji</w:t>
      </w:r>
      <w:r>
        <w:rPr>
          <w:b/>
          <w:color w:val="FFFFFF"/>
        </w:rPr>
        <w:t>i</w:t>
      </w:r>
      <w:r>
        <w:rPr>
          <w:b/>
        </w:rPr>
        <w:t>Heterokedastisitas</w:t>
      </w:r>
    </w:p>
    <w:p>
      <w:pPr>
        <w:spacing w:line="240" w:lineRule="auto"/>
        <w:ind w:left="0" w:hanging="2"/>
        <w:jc w:val="center"/>
        <w:rPr>
          <w:b/>
        </w:rPr>
      </w:pPr>
      <w:r>
        <w:rPr>
          <w:b/>
        </w:rPr>
        <w:t>Tabel 5</w:t>
      </w:r>
    </w:p>
    <w:p>
      <w:pPr>
        <w:spacing w:line="240" w:lineRule="auto"/>
        <w:ind w:left="0" w:hanging="2"/>
        <w:jc w:val="center"/>
        <w:rPr>
          <w:b/>
        </w:rPr>
      </w:pPr>
      <w:r>
        <w:rPr>
          <w:b/>
        </w:rPr>
        <w:t>Uji Heterokedastisitas</w:t>
      </w:r>
    </w:p>
    <w:tbl>
      <w:tblPr>
        <w:tblStyle w:val="9"/>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64"/>
        <w:gridCol w:w="1677"/>
        <w:gridCol w:w="771"/>
        <w:gridCol w:w="1095"/>
        <w:gridCol w:w="2380"/>
        <w:gridCol w:w="231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000" w:type="pct"/>
            <w:gridSpan w:val="6"/>
            <w:tcBorders>
              <w:top w:val="nil"/>
              <w:left w:val="nil"/>
              <w:bottom w:val="nil"/>
              <w:right w:val="nil"/>
            </w:tcBorders>
            <w:shd w:val="clear" w:color="auto" w:fill="FFFFFF"/>
            <w:vAlign w:val="center"/>
          </w:tcPr>
          <w:p>
            <w:pPr>
              <w:adjustRightInd w:val="0"/>
              <w:ind w:left="0" w:right="60" w:hanging="2"/>
              <w:rPr>
                <w:rFonts w:ascii="Arial" w:hAnsi="Arial" w:cs="Arial"/>
                <w:color w:val="000000"/>
                <w:sz w:val="18"/>
                <w:szCs w:val="18"/>
              </w:rPr>
            </w:pPr>
            <w:r>
              <w:rPr>
                <w:rFonts w:ascii="Arial" w:hAnsi="Arial" w:cs="Arial"/>
                <w:b/>
                <w:bCs/>
                <w:color w:val="000000"/>
                <w:sz w:val="18"/>
                <w:szCs w:val="18"/>
              </w:rPr>
              <w:t xml:space="preserve">                                                               Coefficients</w:t>
            </w:r>
            <w:r>
              <w:rPr>
                <w:rFonts w:ascii="Arial" w:hAnsi="Arial" w:cs="Arial"/>
                <w:b/>
                <w:bCs/>
                <w:color w:val="000000"/>
                <w:sz w:val="18"/>
                <w:szCs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40" w:type="pct"/>
            <w:gridSpan w:val="2"/>
            <w:vMerge w:val="restart"/>
            <w:tcBorders>
              <w:top w:val="single" w:color="000000" w:sz="16" w:space="0"/>
              <w:left w:val="single" w:color="000000" w:sz="16" w:space="0"/>
              <w:bottom w:val="nil"/>
              <w:right w:val="nil"/>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Model</w:t>
            </w:r>
          </w:p>
        </w:tc>
        <w:tc>
          <w:tcPr>
            <w:tcW w:w="1097" w:type="pct"/>
            <w:gridSpan w:val="2"/>
            <w:tcBorders>
              <w:top w:val="single" w:color="000000" w:sz="16" w:space="0"/>
              <w:left w:val="single" w:color="000000" w:sz="16" w:space="0"/>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Unstandardized</w:t>
            </w:r>
            <w:r>
              <w:rPr>
                <w:rFonts w:ascii="Arial" w:hAnsi="Arial" w:cs="Arial"/>
                <w:color w:val="FFFFFF"/>
                <w:sz w:val="18"/>
                <w:szCs w:val="18"/>
              </w:rPr>
              <w:t>i</w:t>
            </w:r>
            <w:r>
              <w:rPr>
                <w:rFonts w:ascii="Arial" w:hAnsi="Arial" w:cs="Arial"/>
                <w:color w:val="000000"/>
                <w:sz w:val="18"/>
                <w:szCs w:val="18"/>
              </w:rPr>
              <w:t xml:space="preserve"> Coefficients</w:t>
            </w:r>
          </w:p>
        </w:tc>
        <w:tc>
          <w:tcPr>
            <w:tcW w:w="1399" w:type="pct"/>
            <w:tcBorders>
              <w:top w:val="single" w:color="000000" w:sz="16" w:space="0"/>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Standardized</w:t>
            </w:r>
            <w:r>
              <w:rPr>
                <w:rFonts w:ascii="Arial" w:hAnsi="Arial" w:cs="Arial"/>
                <w:color w:val="FFFFFF"/>
                <w:sz w:val="18"/>
                <w:szCs w:val="18"/>
              </w:rPr>
              <w:t>i</w:t>
            </w:r>
            <w:r>
              <w:rPr>
                <w:rFonts w:ascii="Arial" w:hAnsi="Arial" w:cs="Arial"/>
                <w:color w:val="000000"/>
                <w:sz w:val="18"/>
                <w:szCs w:val="18"/>
              </w:rPr>
              <w:t>Coefficients</w:t>
            </w:r>
          </w:p>
        </w:tc>
        <w:tc>
          <w:tcPr>
            <w:tcW w:w="1364" w:type="pct"/>
            <w:vMerge w:val="restart"/>
            <w:tcBorders>
              <w:top w:val="single" w:color="000000" w:sz="16" w:space="0"/>
            </w:tcBorders>
            <w:shd w:val="clear" w:color="auto" w:fill="FFFFFF"/>
            <w:vAlign w:val="bottom"/>
          </w:tcPr>
          <w:p>
            <w:pPr>
              <w:adjustRightInd w:val="0"/>
              <w:ind w:left="0" w:right="60" w:hanging="2"/>
              <w:jc w:val="center"/>
              <w:rPr>
                <w:rFonts w:ascii="Arial" w:hAnsi="Arial" w:cs="Arial"/>
                <w:color w:val="000000"/>
                <w:sz w:val="18"/>
                <w:szCs w:val="18"/>
              </w:rPr>
            </w:pPr>
            <w:r>
              <w:rPr>
                <w:rFonts w:ascii="Arial" w:hAnsi="Arial" w:cs="Arial"/>
                <w:color w:val="000000"/>
                <w:sz w:val="18"/>
                <w:szCs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140" w:type="pct"/>
            <w:gridSpan w:val="2"/>
            <w:vMerge w:val="continue"/>
            <w:tcBorders>
              <w:top w:val="single" w:color="000000" w:sz="16" w:space="0"/>
              <w:left w:val="single" w:color="000000" w:sz="16" w:space="0"/>
              <w:bottom w:val="nil"/>
              <w:right w:val="nil"/>
            </w:tcBorders>
            <w:shd w:val="clear" w:color="auto" w:fill="FFFFFF"/>
            <w:vAlign w:val="bottom"/>
          </w:tcPr>
          <w:p>
            <w:pPr>
              <w:adjustRightInd w:val="0"/>
              <w:ind w:left="0" w:hanging="2"/>
              <w:rPr>
                <w:rFonts w:ascii="Arial" w:hAnsi="Arial" w:cs="Arial"/>
                <w:color w:val="000000"/>
                <w:sz w:val="18"/>
                <w:szCs w:val="18"/>
              </w:rPr>
            </w:pPr>
          </w:p>
        </w:tc>
        <w:tc>
          <w:tcPr>
            <w:tcW w:w="453" w:type="pct"/>
            <w:tcBorders>
              <w:left w:val="single" w:color="000000" w:sz="16" w:space="0"/>
              <w:bottom w:val="single" w:color="000000" w:sz="16" w:space="0"/>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B</w:t>
            </w:r>
          </w:p>
        </w:tc>
        <w:tc>
          <w:tcPr>
            <w:tcW w:w="644" w:type="pct"/>
            <w:tcBorders>
              <w:bottom w:val="single" w:color="000000" w:sz="16" w:space="0"/>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Std. Error</w:t>
            </w:r>
          </w:p>
        </w:tc>
        <w:tc>
          <w:tcPr>
            <w:tcW w:w="1399" w:type="pct"/>
            <w:tcBorders>
              <w:bottom w:val="single" w:color="000000" w:sz="16" w:space="0"/>
            </w:tcBorders>
            <w:shd w:val="clear" w:color="auto" w:fill="FFFFFF"/>
            <w:vAlign w:val="bottom"/>
          </w:tcPr>
          <w:p>
            <w:pPr>
              <w:adjustRightInd w:val="0"/>
              <w:ind w:left="0" w:right="60" w:hanging="2"/>
              <w:rPr>
                <w:rFonts w:ascii="Arial" w:hAnsi="Arial" w:cs="Arial"/>
                <w:color w:val="000000"/>
                <w:sz w:val="18"/>
                <w:szCs w:val="18"/>
              </w:rPr>
            </w:pPr>
            <w:r>
              <w:rPr>
                <w:rFonts w:ascii="Arial" w:hAnsi="Arial" w:cs="Arial"/>
                <w:color w:val="000000"/>
                <w:sz w:val="18"/>
                <w:szCs w:val="18"/>
              </w:rPr>
              <w:t>Beta</w:t>
            </w:r>
          </w:p>
        </w:tc>
        <w:tc>
          <w:tcPr>
            <w:tcW w:w="1364" w:type="pct"/>
            <w:vMerge w:val="continue"/>
            <w:tcBorders>
              <w:top w:val="single" w:color="000000" w:sz="16" w:space="0"/>
            </w:tcBorders>
            <w:shd w:val="clear" w:color="auto" w:fill="FFFFFF"/>
            <w:vAlign w:val="bottom"/>
          </w:tcPr>
          <w:p>
            <w:pPr>
              <w:adjustRightInd w:val="0"/>
              <w:ind w:left="0" w:hanging="2"/>
              <w:rPr>
                <w:rFonts w:ascii="Arial" w:hAnsi="Arial" w:cs="Arial"/>
                <w:color w:val="000000"/>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55" w:type="pct"/>
            <w:vMerge w:val="restart"/>
            <w:tcBorders>
              <w:top w:val="single" w:color="000000" w:sz="16" w:space="0"/>
              <w:left w:val="single" w:color="000000" w:sz="16" w:space="0"/>
              <w:bottom w:val="single" w:color="000000" w:sz="16" w:space="0"/>
              <w:right w:val="nil"/>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1</w:t>
            </w:r>
          </w:p>
        </w:tc>
        <w:tc>
          <w:tcPr>
            <w:tcW w:w="986" w:type="pct"/>
            <w:tcBorders>
              <w:top w:val="single" w:color="000000" w:sz="16" w:space="0"/>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(Constant)</w:t>
            </w:r>
          </w:p>
        </w:tc>
        <w:tc>
          <w:tcPr>
            <w:tcW w:w="453" w:type="pct"/>
            <w:tcBorders>
              <w:top w:val="single" w:color="000000" w:sz="16" w:space="0"/>
              <w:left w:val="single" w:color="000000" w:sz="16" w:space="0"/>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1,782</w:t>
            </w:r>
          </w:p>
        </w:tc>
        <w:tc>
          <w:tcPr>
            <w:tcW w:w="644" w:type="pct"/>
            <w:tcBorders>
              <w:top w:val="single" w:color="000000" w:sz="16" w:space="0"/>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2,419</w:t>
            </w:r>
          </w:p>
        </w:tc>
        <w:tc>
          <w:tcPr>
            <w:tcW w:w="1399" w:type="pct"/>
            <w:tcBorders>
              <w:top w:val="single" w:color="000000" w:sz="16" w:space="0"/>
              <w:bottom w:val="nil"/>
            </w:tcBorders>
            <w:shd w:val="clear" w:color="auto" w:fill="FFFFFF"/>
            <w:vAlign w:val="center"/>
          </w:tcPr>
          <w:p>
            <w:pPr>
              <w:adjustRightInd w:val="0"/>
              <w:ind w:left="0" w:hanging="2"/>
              <w:rPr>
                <w:rFonts w:ascii="Arial" w:hAnsi="Arial" w:cs="Arial"/>
                <w:sz w:val="18"/>
                <w:szCs w:val="18"/>
              </w:rPr>
            </w:pPr>
          </w:p>
        </w:tc>
        <w:tc>
          <w:tcPr>
            <w:tcW w:w="1364" w:type="pct"/>
            <w:tcBorders>
              <w:top w:val="single" w:color="000000" w:sz="16" w:space="0"/>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,466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55" w:type="pct"/>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rFonts w:ascii="Arial" w:hAnsi="Arial" w:cs="Arial"/>
                <w:sz w:val="18"/>
                <w:szCs w:val="18"/>
              </w:rPr>
            </w:pPr>
          </w:p>
        </w:tc>
        <w:tc>
          <w:tcPr>
            <w:tcW w:w="986" w:type="pct"/>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Kepemimpinan</w:t>
            </w:r>
          </w:p>
        </w:tc>
        <w:tc>
          <w:tcPr>
            <w:tcW w:w="453" w:type="pct"/>
            <w:tcBorders>
              <w:top w:val="nil"/>
              <w:left w:val="single" w:color="000000" w:sz="16" w:space="0"/>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-,062</w:t>
            </w:r>
          </w:p>
        </w:tc>
        <w:tc>
          <w:tcPr>
            <w:tcW w:w="644"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,067</w:t>
            </w:r>
          </w:p>
        </w:tc>
        <w:tc>
          <w:tcPr>
            <w:tcW w:w="1399"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-,152</w:t>
            </w:r>
          </w:p>
        </w:tc>
        <w:tc>
          <w:tcPr>
            <w:tcW w:w="1364"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,359</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55" w:type="pct"/>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rFonts w:ascii="Arial" w:hAnsi="Arial" w:cs="Arial"/>
                <w:color w:val="000000"/>
                <w:sz w:val="18"/>
                <w:szCs w:val="18"/>
              </w:rPr>
            </w:pPr>
          </w:p>
        </w:tc>
        <w:tc>
          <w:tcPr>
            <w:tcW w:w="986" w:type="pct"/>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Budaya Kerja</w:t>
            </w:r>
          </w:p>
        </w:tc>
        <w:tc>
          <w:tcPr>
            <w:tcW w:w="453" w:type="pct"/>
            <w:tcBorders>
              <w:top w:val="nil"/>
              <w:left w:val="single" w:color="000000" w:sz="16" w:space="0"/>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-,069</w:t>
            </w:r>
          </w:p>
        </w:tc>
        <w:tc>
          <w:tcPr>
            <w:tcW w:w="644"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,056</w:t>
            </w:r>
          </w:p>
        </w:tc>
        <w:tc>
          <w:tcPr>
            <w:tcW w:w="1399"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-,211</w:t>
            </w:r>
          </w:p>
        </w:tc>
        <w:tc>
          <w:tcPr>
            <w:tcW w:w="1364" w:type="pct"/>
            <w:tcBorders>
              <w:top w:val="nil"/>
              <w:bottom w:val="nil"/>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,232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155" w:type="pct"/>
            <w:vMerge w:val="continue"/>
            <w:tcBorders>
              <w:top w:val="single" w:color="000000" w:sz="16" w:space="0"/>
              <w:left w:val="single" w:color="000000" w:sz="16" w:space="0"/>
              <w:bottom w:val="single" w:color="000000" w:sz="16" w:space="0"/>
              <w:right w:val="nil"/>
            </w:tcBorders>
            <w:shd w:val="clear" w:color="auto" w:fill="FFFFFF"/>
          </w:tcPr>
          <w:p>
            <w:pPr>
              <w:adjustRightInd w:val="0"/>
              <w:ind w:left="0" w:hanging="2"/>
              <w:rPr>
                <w:rFonts w:ascii="Arial" w:hAnsi="Arial" w:cs="Arial"/>
                <w:color w:val="000000"/>
                <w:sz w:val="18"/>
                <w:szCs w:val="18"/>
              </w:rPr>
            </w:pPr>
          </w:p>
        </w:tc>
        <w:tc>
          <w:tcPr>
            <w:tcW w:w="986" w:type="pct"/>
            <w:tcBorders>
              <w:top w:val="nil"/>
              <w:left w:val="nil"/>
              <w:bottom w:val="single" w:color="000000" w:sz="16" w:space="0"/>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Lingkungan Kerja</w:t>
            </w:r>
          </w:p>
        </w:tc>
        <w:tc>
          <w:tcPr>
            <w:tcW w:w="453" w:type="pct"/>
            <w:tcBorders>
              <w:top w:val="nil"/>
              <w:left w:val="single" w:color="000000" w:sz="16" w:space="0"/>
              <w:bottom w:val="single" w:color="000000" w:sz="16" w:space="0"/>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,096</w:t>
            </w:r>
          </w:p>
        </w:tc>
        <w:tc>
          <w:tcPr>
            <w:tcW w:w="644" w:type="pct"/>
            <w:tcBorders>
              <w:top w:val="nil"/>
              <w:bottom w:val="single" w:color="000000" w:sz="16" w:space="0"/>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,065</w:t>
            </w:r>
          </w:p>
        </w:tc>
        <w:tc>
          <w:tcPr>
            <w:tcW w:w="1399" w:type="pct"/>
            <w:tcBorders>
              <w:top w:val="nil"/>
              <w:bottom w:val="single" w:color="000000" w:sz="16" w:space="0"/>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,253</w:t>
            </w:r>
          </w:p>
        </w:tc>
        <w:tc>
          <w:tcPr>
            <w:tcW w:w="1364" w:type="pct"/>
            <w:tcBorders>
              <w:top w:val="nil"/>
              <w:bottom w:val="single" w:color="000000" w:sz="16" w:space="0"/>
            </w:tcBorders>
            <w:shd w:val="clear" w:color="auto" w:fill="FFFFFF"/>
            <w:vAlign w:val="center"/>
          </w:tcPr>
          <w:p>
            <w:pPr>
              <w:adjustRightInd w:val="0"/>
              <w:ind w:left="0" w:right="60" w:hanging="2"/>
              <w:jc w:val="right"/>
              <w:rPr>
                <w:rFonts w:ascii="Arial" w:hAnsi="Arial" w:cs="Arial"/>
                <w:color w:val="000000"/>
                <w:sz w:val="18"/>
                <w:szCs w:val="18"/>
              </w:rPr>
            </w:pPr>
            <w:r>
              <w:rPr>
                <w:rFonts w:ascii="Arial" w:hAnsi="Arial" w:cs="Arial"/>
                <w:color w:val="000000"/>
                <w:sz w:val="18"/>
                <w:szCs w:val="18"/>
              </w:rPr>
              <w:t>,151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5000" w:type="pct"/>
            <w:gridSpan w:val="6"/>
            <w:tcBorders>
              <w:top w:val="nil"/>
              <w:left w:val="nil"/>
              <w:bottom w:val="nil"/>
              <w:right w:val="nil"/>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a. Dependent</w:t>
            </w:r>
            <w:r>
              <w:rPr>
                <w:rFonts w:ascii="Arial" w:hAnsi="Arial" w:cs="Arial"/>
                <w:color w:val="FFFFFF"/>
                <w:sz w:val="18"/>
                <w:szCs w:val="18"/>
              </w:rPr>
              <w:t>i</w:t>
            </w:r>
            <w:r>
              <w:rPr>
                <w:rFonts w:ascii="Arial" w:hAnsi="Arial" w:cs="Arial"/>
                <w:color w:val="000000"/>
                <w:sz w:val="18"/>
                <w:szCs w:val="18"/>
              </w:rPr>
              <w:t>Variable: RES2</w:t>
            </w:r>
          </w:p>
        </w:tc>
      </w:tr>
    </w:tbl>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Berdasarkan</w:t>
      </w:r>
      <w:r>
        <w:rPr>
          <w:color w:val="FFFFFF"/>
        </w:rPr>
        <w:t>i</w:t>
      </w:r>
      <w:r>
        <w:t>hasil ini diketahui</w:t>
      </w:r>
      <w:r>
        <w:rPr>
          <w:color w:val="FFFFFF"/>
        </w:rPr>
        <w:t>i</w:t>
      </w:r>
      <w:r>
        <w:t>bahwa nilai signifikansi</w:t>
      </w:r>
      <w:r>
        <w:rPr>
          <w:color w:val="FFFFFF"/>
        </w:rPr>
        <w:t>i</w:t>
      </w:r>
      <w:r>
        <w:t>variabel</w:t>
      </w:r>
      <w:r>
        <w:rPr>
          <w:color w:val="FFFFFF"/>
        </w:rPr>
        <w:t>i</w:t>
      </w:r>
      <w:r>
        <w:t>kepemimpinan sebesar</w:t>
      </w:r>
      <w:r>
        <w:rPr>
          <w:color w:val="FFFFFF"/>
        </w:rPr>
        <w:t>i</w:t>
      </w:r>
      <w:r>
        <w:t>0.359, variabel</w:t>
      </w:r>
      <w:r>
        <w:rPr>
          <w:color w:val="FFFFFF"/>
        </w:rPr>
        <w:t>i</w:t>
      </w:r>
      <w:r>
        <w:t>budaya kerja</w:t>
      </w:r>
      <w:r>
        <w:rPr>
          <w:color w:val="FFFFFF"/>
        </w:rPr>
        <w:t>i</w:t>
      </w:r>
      <w:r>
        <w:t>sebesar 0.232, variabel</w:t>
      </w:r>
      <w:r>
        <w:rPr>
          <w:color w:val="FFFFFF"/>
        </w:rPr>
        <w:t>i</w:t>
      </w:r>
      <w:r>
        <w:t>lingkungan kerja sebesar 0.151 dari</w:t>
      </w:r>
      <w:r>
        <w:rPr>
          <w:color w:val="FFFFFF"/>
        </w:rPr>
        <w:t xml:space="preserve"> </w:t>
      </w:r>
      <w:r>
        <w:t>ketiga data tersebut</w:t>
      </w:r>
      <w:r>
        <w:rPr>
          <w:color w:val="FFFFFF"/>
        </w:rPr>
        <w:t>i</w:t>
      </w:r>
      <w:r>
        <w:t>dapat</w:t>
      </w:r>
      <w:r>
        <w:rPr>
          <w:color w:val="FFFFFF"/>
        </w:rPr>
        <w:t>i</w:t>
      </w:r>
      <w:r>
        <w:t>disimpulkan tidak terjadi heterokedastisitas karena &gt; 0.05.</w:t>
      </w:r>
    </w:p>
    <w:p>
      <w:pPr>
        <w:spacing w:line="240" w:lineRule="auto"/>
        <w:ind w:left="0" w:hanging="2"/>
        <w:rPr>
          <w:b/>
        </w:rPr>
      </w:pPr>
      <w:r>
        <w:rPr>
          <w:b/>
        </w:rPr>
        <w:t>Analisis</w:t>
      </w:r>
      <w:r>
        <w:rPr>
          <w:b/>
          <w:color w:val="FFFFFF"/>
        </w:rPr>
        <w:t>i</w:t>
      </w:r>
      <w:r>
        <w:rPr>
          <w:b/>
        </w:rPr>
        <w:t>Regresi</w:t>
      </w:r>
      <w:r>
        <w:rPr>
          <w:b/>
          <w:color w:val="FFFFFF"/>
        </w:rPr>
        <w:t>i</w:t>
      </w:r>
      <w:r>
        <w:rPr>
          <w:b/>
        </w:rPr>
        <w:t>Linier</w:t>
      </w:r>
      <w:r>
        <w:rPr>
          <w:b/>
          <w:color w:val="FFFFFF"/>
        </w:rPr>
        <w:t>i</w:t>
      </w:r>
      <w:r>
        <w:rPr>
          <w:b/>
        </w:rPr>
        <w:t>Berganda</w:t>
      </w: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Tabel 6.</w:t>
      </w: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Analisis Regresi Linier Berganda</w:t>
      </w:r>
    </w:p>
    <w:p>
      <w:pPr>
        <w:pStyle w:val="56"/>
        <w:ind w:hanging="2"/>
        <w:jc w:val="both"/>
        <w:rPr>
          <w:rFonts w:ascii="Times New Roman" w:hAnsi="Times New Roman" w:cs="Times New Roman"/>
          <w:b/>
          <w:sz w:val="24"/>
          <w:szCs w:val="24"/>
          <w:lang w:val="id-ID"/>
        </w:rPr>
      </w:pPr>
      <w:r>
        <w:rPr>
          <w:rFonts w:ascii="Times New Roman" w:hAnsi="Times New Roman" w:cs="Times New Roman"/>
          <w:b/>
          <w:bCs/>
          <w:color w:val="000000"/>
          <w:sz w:val="24"/>
          <w:szCs w:val="24"/>
        </w:rPr>
        <w:t>Coefficients</w:t>
      </w:r>
      <w:r>
        <w:rPr>
          <w:rFonts w:ascii="Times New Roman" w:hAnsi="Times New Roman" w:cs="Times New Roman"/>
          <w:b/>
          <w:bCs/>
          <w:color w:val="000000"/>
          <w:sz w:val="24"/>
          <w:szCs w:val="24"/>
          <w:vertAlign w:val="superscript"/>
        </w:rPr>
        <w:t>a</w:t>
      </w:r>
    </w:p>
    <w:tbl>
      <w:tblPr>
        <w:tblStyle w:val="9"/>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260"/>
        <w:gridCol w:w="1762"/>
        <w:gridCol w:w="692"/>
        <w:gridCol w:w="1134"/>
        <w:gridCol w:w="1559"/>
        <w:gridCol w:w="850"/>
        <w:gridCol w:w="7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22" w:type="dxa"/>
            <w:gridSpan w:val="2"/>
            <w:vMerge w:val="restart"/>
            <w:tcBorders>
              <w:top w:val="single" w:color="000000" w:sz="16" w:space="0"/>
              <w:left w:val="single" w:color="000000" w:sz="16" w:space="0"/>
              <w:bottom w:val="nil"/>
              <w:right w:val="nil"/>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Model</w:t>
            </w:r>
          </w:p>
        </w:tc>
        <w:tc>
          <w:tcPr>
            <w:tcW w:w="1826" w:type="dxa"/>
            <w:gridSpan w:val="2"/>
            <w:tcBorders>
              <w:top w:val="single" w:color="000000" w:sz="16" w:space="0"/>
              <w:left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Unstandardized</w:t>
            </w:r>
            <w:r>
              <w:rPr>
                <w:rFonts w:ascii="Arial" w:hAnsi="Arial" w:cs="Arial"/>
                <w:color w:val="FFFFFF"/>
                <w:sz w:val="18"/>
                <w:szCs w:val="18"/>
              </w:rPr>
              <w:t>i</w:t>
            </w:r>
            <w:r>
              <w:rPr>
                <w:rFonts w:ascii="Arial" w:hAnsi="Arial" w:cs="Arial"/>
                <w:sz w:val="18"/>
                <w:szCs w:val="18"/>
              </w:rPr>
              <w:t>Coefficients</w:t>
            </w:r>
          </w:p>
        </w:tc>
        <w:tc>
          <w:tcPr>
            <w:tcW w:w="1559" w:type="dxa"/>
            <w:tcBorders>
              <w:top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Standardized</w:t>
            </w:r>
            <w:r>
              <w:rPr>
                <w:rFonts w:ascii="Arial" w:hAnsi="Arial" w:cs="Arial"/>
                <w:color w:val="FFFFFF"/>
                <w:sz w:val="18"/>
                <w:szCs w:val="18"/>
              </w:rPr>
              <w:t>i</w:t>
            </w:r>
            <w:r>
              <w:rPr>
                <w:rFonts w:ascii="Arial" w:hAnsi="Arial" w:cs="Arial"/>
                <w:sz w:val="18"/>
                <w:szCs w:val="18"/>
              </w:rPr>
              <w:t>Coefficients</w:t>
            </w:r>
          </w:p>
        </w:tc>
        <w:tc>
          <w:tcPr>
            <w:tcW w:w="850" w:type="dxa"/>
            <w:vMerge w:val="restart"/>
            <w:tcBorders>
              <w:top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t</w:t>
            </w:r>
          </w:p>
        </w:tc>
        <w:tc>
          <w:tcPr>
            <w:tcW w:w="709" w:type="dxa"/>
            <w:vMerge w:val="restart"/>
            <w:tcBorders>
              <w:top w:val="single" w:color="000000" w:sz="16" w:space="0"/>
              <w:right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022" w:type="dxa"/>
            <w:gridSpan w:val="2"/>
            <w:vMerge w:val="continue"/>
            <w:tcBorders>
              <w:top w:val="single" w:color="000000" w:sz="16" w:space="0"/>
              <w:left w:val="single" w:color="000000" w:sz="16" w:space="0"/>
              <w:bottom w:val="nil"/>
              <w:right w:val="nil"/>
            </w:tcBorders>
            <w:shd w:val="clear" w:color="auto" w:fill="FFFFFF"/>
          </w:tcPr>
          <w:p>
            <w:pPr>
              <w:adjustRightInd w:val="0"/>
              <w:ind w:left="0" w:hanging="2"/>
              <w:jc w:val="both"/>
              <w:rPr>
                <w:rFonts w:ascii="Arial" w:hAnsi="Arial" w:cs="Arial"/>
                <w:sz w:val="18"/>
                <w:szCs w:val="18"/>
              </w:rPr>
            </w:pPr>
          </w:p>
        </w:tc>
        <w:tc>
          <w:tcPr>
            <w:tcW w:w="692" w:type="dxa"/>
            <w:tcBorders>
              <w:left w:val="single" w:color="000000" w:sz="16" w:space="0"/>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B</w:t>
            </w:r>
          </w:p>
        </w:tc>
        <w:tc>
          <w:tcPr>
            <w:tcW w:w="1134" w:type="dxa"/>
            <w:tcBorders>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Std. Error</w:t>
            </w:r>
          </w:p>
        </w:tc>
        <w:tc>
          <w:tcPr>
            <w:tcW w:w="1559" w:type="dxa"/>
            <w:tcBorders>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Beta</w:t>
            </w:r>
          </w:p>
        </w:tc>
        <w:tc>
          <w:tcPr>
            <w:tcW w:w="850" w:type="dxa"/>
            <w:vMerge w:val="continue"/>
            <w:tcBorders>
              <w:top w:val="single" w:color="000000" w:sz="16" w:space="0"/>
            </w:tcBorders>
            <w:shd w:val="clear" w:color="auto" w:fill="FFFFFF"/>
          </w:tcPr>
          <w:p>
            <w:pPr>
              <w:adjustRightInd w:val="0"/>
              <w:ind w:left="0" w:hanging="2"/>
              <w:jc w:val="both"/>
              <w:rPr>
                <w:rFonts w:ascii="Arial" w:hAnsi="Arial" w:cs="Arial"/>
                <w:sz w:val="18"/>
                <w:szCs w:val="18"/>
              </w:rPr>
            </w:pPr>
          </w:p>
        </w:tc>
        <w:tc>
          <w:tcPr>
            <w:tcW w:w="709" w:type="dxa"/>
            <w:vMerge w:val="continue"/>
            <w:tcBorders>
              <w:top w:val="single" w:color="000000" w:sz="16" w:space="0"/>
              <w:right w:val="single" w:color="000000" w:sz="16" w:space="0"/>
            </w:tcBorders>
            <w:shd w:val="clear" w:color="auto" w:fill="FFFFFF"/>
          </w:tcPr>
          <w:p>
            <w:pPr>
              <w:adjustRightInd w:val="0"/>
              <w:ind w:left="0" w:hanging="2"/>
              <w:jc w:val="both"/>
              <w:rPr>
                <w:rFonts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0" w:type="dxa"/>
            <w:vMerge w:val="restart"/>
            <w:tcBorders>
              <w:top w:val="single" w:color="000000" w:sz="16" w:space="0"/>
              <w:left w:val="single" w:color="000000" w:sz="16" w:space="0"/>
              <w:bottom w:val="single" w:color="000000" w:sz="16" w:space="0"/>
              <w:right w:val="nil"/>
            </w:tcBorders>
            <w:shd w:val="clear" w:color="auto" w:fill="FFFFFF"/>
            <w:vAlign w:val="center"/>
          </w:tcPr>
          <w:p>
            <w:pPr>
              <w:adjustRightInd w:val="0"/>
              <w:ind w:left="0" w:right="60" w:hanging="2"/>
              <w:rPr>
                <w:rFonts w:ascii="Arial" w:hAnsi="Arial" w:cs="Arial"/>
                <w:sz w:val="18"/>
                <w:szCs w:val="18"/>
              </w:rPr>
            </w:pPr>
            <w:r>
              <w:rPr>
                <w:rFonts w:ascii="Arial" w:hAnsi="Arial" w:cs="Arial"/>
                <w:sz w:val="18"/>
                <w:szCs w:val="18"/>
              </w:rPr>
              <w:t>1</w:t>
            </w:r>
          </w:p>
        </w:tc>
        <w:tc>
          <w:tcPr>
            <w:tcW w:w="1762" w:type="dxa"/>
            <w:tcBorders>
              <w:top w:val="single" w:color="000000" w:sz="16" w:space="0"/>
              <w:left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(Constant)</w:t>
            </w:r>
          </w:p>
        </w:tc>
        <w:tc>
          <w:tcPr>
            <w:tcW w:w="692" w:type="dxa"/>
            <w:tcBorders>
              <w:top w:val="single" w:color="000000" w:sz="16" w:space="0"/>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3.343</w:t>
            </w:r>
          </w:p>
        </w:tc>
        <w:tc>
          <w:tcPr>
            <w:tcW w:w="1134" w:type="dxa"/>
            <w:tcBorders>
              <w:top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2.961</w:t>
            </w:r>
          </w:p>
        </w:tc>
        <w:tc>
          <w:tcPr>
            <w:tcW w:w="1559" w:type="dxa"/>
            <w:tcBorders>
              <w:top w:val="single" w:color="000000" w:sz="16" w:space="0"/>
              <w:bottom w:val="nil"/>
            </w:tcBorders>
            <w:shd w:val="clear" w:color="auto" w:fill="FFFFFF"/>
          </w:tcPr>
          <w:p>
            <w:pPr>
              <w:adjustRightInd w:val="0"/>
              <w:ind w:left="0" w:hanging="2"/>
              <w:jc w:val="both"/>
              <w:rPr>
                <w:rFonts w:ascii="Arial" w:hAnsi="Arial" w:cs="Arial"/>
                <w:sz w:val="18"/>
                <w:szCs w:val="18"/>
              </w:rPr>
            </w:pPr>
          </w:p>
        </w:tc>
        <w:tc>
          <w:tcPr>
            <w:tcW w:w="850" w:type="dxa"/>
            <w:tcBorders>
              <w:top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1.986</w:t>
            </w:r>
          </w:p>
        </w:tc>
        <w:tc>
          <w:tcPr>
            <w:tcW w:w="709" w:type="dxa"/>
            <w:tcBorders>
              <w:top w:val="single" w:color="000000" w:sz="16" w:space="0"/>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0" w:type="dxa"/>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1762" w:type="dxa"/>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Kepemimpinan</w:t>
            </w:r>
          </w:p>
        </w:tc>
        <w:tc>
          <w:tcPr>
            <w:tcW w:w="692" w:type="dxa"/>
            <w:tcBorders>
              <w:top w:val="nil"/>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.123</w:t>
            </w:r>
          </w:p>
        </w:tc>
        <w:tc>
          <w:tcPr>
            <w:tcW w:w="1134"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.114</w:t>
            </w:r>
          </w:p>
        </w:tc>
        <w:tc>
          <w:tcPr>
            <w:tcW w:w="1559"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.114</w:t>
            </w:r>
          </w:p>
        </w:tc>
        <w:tc>
          <w:tcPr>
            <w:tcW w:w="850"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1.106</w:t>
            </w:r>
          </w:p>
        </w:tc>
        <w:tc>
          <w:tcPr>
            <w:tcW w:w="709" w:type="dxa"/>
            <w:tcBorders>
              <w:top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0" w:type="dxa"/>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1762" w:type="dxa"/>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Budaya Kerja</w:t>
            </w:r>
          </w:p>
        </w:tc>
        <w:tc>
          <w:tcPr>
            <w:tcW w:w="692" w:type="dxa"/>
            <w:tcBorders>
              <w:top w:val="nil"/>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.315</w:t>
            </w:r>
          </w:p>
        </w:tc>
        <w:tc>
          <w:tcPr>
            <w:tcW w:w="1134"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.153</w:t>
            </w:r>
          </w:p>
        </w:tc>
        <w:tc>
          <w:tcPr>
            <w:tcW w:w="1559"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.201</w:t>
            </w:r>
          </w:p>
        </w:tc>
        <w:tc>
          <w:tcPr>
            <w:tcW w:w="850" w:type="dxa"/>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2.062</w:t>
            </w:r>
          </w:p>
        </w:tc>
        <w:tc>
          <w:tcPr>
            <w:tcW w:w="709" w:type="dxa"/>
            <w:tcBorders>
              <w:top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60" w:type="dxa"/>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1762" w:type="dxa"/>
            <w:tcBorders>
              <w:top w:val="nil"/>
              <w:left w:val="nil"/>
              <w:bottom w:val="single" w:color="000000" w:sz="16" w:space="0"/>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Lingkungan Kerja</w:t>
            </w:r>
          </w:p>
        </w:tc>
        <w:tc>
          <w:tcPr>
            <w:tcW w:w="692" w:type="dxa"/>
            <w:tcBorders>
              <w:top w:val="nil"/>
              <w:left w:val="single" w:color="000000" w:sz="16" w:space="0"/>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.313</w:t>
            </w:r>
          </w:p>
        </w:tc>
        <w:tc>
          <w:tcPr>
            <w:tcW w:w="1134" w:type="dxa"/>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.093</w:t>
            </w:r>
          </w:p>
        </w:tc>
        <w:tc>
          <w:tcPr>
            <w:tcW w:w="1559" w:type="dxa"/>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.329</w:t>
            </w:r>
          </w:p>
        </w:tc>
        <w:tc>
          <w:tcPr>
            <w:tcW w:w="850" w:type="dxa"/>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.3.371</w:t>
            </w:r>
          </w:p>
        </w:tc>
        <w:tc>
          <w:tcPr>
            <w:tcW w:w="709" w:type="dxa"/>
            <w:tcBorders>
              <w:top w:val="nil"/>
              <w:bottom w:val="single" w:color="000000" w:sz="16" w:space="0"/>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.001</w:t>
            </w:r>
          </w:p>
        </w:tc>
      </w:tr>
    </w:tbl>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Analisis</w:t>
      </w:r>
      <w:r>
        <w:rPr>
          <w:color w:val="FFFFFF"/>
        </w:rPr>
        <w:t>i</w:t>
      </w:r>
      <w:r>
        <w:t>regresi</w:t>
      </w:r>
      <w:r>
        <w:rPr>
          <w:color w:val="FFFFFF"/>
        </w:rPr>
        <w:t>i</w:t>
      </w:r>
      <w:r>
        <w:t>linier</w:t>
      </w:r>
      <w:r>
        <w:rPr>
          <w:color w:val="FFFFFF"/>
        </w:rPr>
        <w:t>i</w:t>
      </w:r>
      <w:r>
        <w:t>berganda</w:t>
      </w:r>
      <w:r>
        <w:rPr>
          <w:color w:val="FFFFFF"/>
        </w:rPr>
        <w:t>i</w:t>
      </w:r>
      <w:r>
        <w:t>digunakan</w:t>
      </w:r>
      <w:r>
        <w:rPr>
          <w:color w:val="FFFFFF"/>
        </w:rPr>
        <w:t>i</w:t>
      </w:r>
      <w:r>
        <w:t>untuk</w:t>
      </w:r>
      <w:r>
        <w:rPr>
          <w:color w:val="FFFFFF"/>
        </w:rPr>
        <w:t>i</w:t>
      </w:r>
      <w:r>
        <w:t>mengetahui</w:t>
      </w:r>
      <w:r>
        <w:rPr>
          <w:color w:val="FFFFFF"/>
        </w:rPr>
        <w:t>i</w:t>
      </w:r>
      <w:r>
        <w:t>pengaruh kepemimpinan, budaya kerja, dan lingkungan</w:t>
      </w:r>
      <w:r>
        <w:rPr>
          <w:color w:val="FFFFFF"/>
        </w:rPr>
        <w:t>i</w:t>
      </w:r>
      <w:r>
        <w:t>kerja terhadap</w:t>
      </w:r>
      <w:r>
        <w:rPr>
          <w:color w:val="FFFFFF"/>
        </w:rPr>
        <w:t>i</w:t>
      </w:r>
      <w:r>
        <w:t>kinerja</w:t>
      </w:r>
      <w:r>
        <w:rPr>
          <w:color w:val="FFFFFF"/>
        </w:rPr>
        <w:t>i</w:t>
      </w:r>
      <w:r>
        <w:t>karyawan. Dengan ini diperoleh</w:t>
      </w:r>
      <w:r>
        <w:rPr>
          <w:color w:val="FFFFFF"/>
        </w:rPr>
        <w:t>i</w:t>
      </w:r>
      <w:r>
        <w:t>hasil</w:t>
      </w:r>
      <w:r>
        <w:rPr>
          <w:color w:val="FFFFFF"/>
        </w:rPr>
        <w:t>i</w:t>
      </w:r>
      <w:r>
        <w:t>persamaan</w:t>
      </w:r>
      <w:r>
        <w:rPr>
          <w:color w:val="FFFFFF"/>
        </w:rPr>
        <w:t>i</w:t>
      </w:r>
      <w:r>
        <w:t>regresi</w:t>
      </w:r>
      <w:r>
        <w:rPr>
          <w:color w:val="FFFFFF"/>
        </w:rPr>
        <w:t>i</w:t>
      </w:r>
      <w:r>
        <w:t>sebagai berikut :</w:t>
      </w:r>
    </w:p>
    <w:p>
      <w:pPr>
        <w:pStyle w:val="34"/>
        <w:ind w:left="0" w:hanging="2"/>
        <w:jc w:val="center"/>
        <w:rPr>
          <w:rFonts w:asciiTheme="majorBidi" w:hAnsiTheme="majorBidi" w:cstheme="majorBidi"/>
          <w:b/>
          <w:sz w:val="24"/>
          <w:szCs w:val="24"/>
        </w:rPr>
      </w:pPr>
      <w:r>
        <w:rPr>
          <w:rFonts w:asciiTheme="majorBidi" w:hAnsiTheme="majorBidi" w:cstheme="majorBidi"/>
          <w:sz w:val="24"/>
          <w:szCs w:val="24"/>
        </w:rPr>
        <w:t>Y = 3.343 + 0.123 X</w:t>
      </w:r>
      <w:r>
        <w:rPr>
          <w:rFonts w:asciiTheme="majorBidi" w:hAnsiTheme="majorBidi" w:cstheme="majorBidi"/>
          <w:sz w:val="24"/>
          <w:szCs w:val="24"/>
          <w:vertAlign w:val="subscript"/>
        </w:rPr>
        <w:t xml:space="preserve">1 </w:t>
      </w:r>
      <w:r>
        <w:rPr>
          <w:rFonts w:asciiTheme="majorBidi" w:hAnsiTheme="majorBidi" w:cstheme="majorBidi"/>
          <w:sz w:val="24"/>
          <w:szCs w:val="24"/>
        </w:rPr>
        <w:t>+ 0.315 X</w:t>
      </w:r>
      <w:r>
        <w:rPr>
          <w:rFonts w:asciiTheme="majorBidi" w:hAnsiTheme="majorBidi" w:cstheme="majorBidi"/>
          <w:sz w:val="24"/>
          <w:szCs w:val="24"/>
          <w:vertAlign w:val="subscript"/>
        </w:rPr>
        <w:t xml:space="preserve">2 </w:t>
      </w:r>
      <w:r>
        <w:rPr>
          <w:rFonts w:asciiTheme="majorBidi" w:hAnsiTheme="majorBidi" w:cstheme="majorBidi"/>
          <w:sz w:val="24"/>
          <w:szCs w:val="24"/>
        </w:rPr>
        <w:t>+ 0.313 X</w:t>
      </w:r>
      <w:r>
        <w:rPr>
          <w:rFonts w:asciiTheme="majorBidi" w:hAnsiTheme="majorBidi" w:cstheme="majorBidi"/>
          <w:sz w:val="24"/>
          <w:szCs w:val="24"/>
          <w:vertAlign w:val="subscript"/>
        </w:rPr>
        <w:t>3</w:t>
      </w:r>
    </w:p>
    <w:p>
      <w:pPr>
        <w:ind w:left="0" w:hanging="2"/>
        <w:jc w:val="both"/>
      </w:pPr>
      <w:r>
        <w:t>Keterangan :</w:t>
      </w:r>
    </w:p>
    <w:p>
      <w:pPr>
        <w:ind w:left="0" w:hanging="2"/>
        <w:jc w:val="both"/>
      </w:pPr>
      <w:r>
        <w:t>X1= Kepemimpinan</w:t>
      </w:r>
    </w:p>
    <w:p>
      <w:pPr>
        <w:ind w:left="0" w:hanging="2"/>
        <w:jc w:val="both"/>
      </w:pPr>
      <w:r>
        <w:t>X2 = Budaya</w:t>
      </w:r>
      <w:r>
        <w:rPr>
          <w:color w:val="FFFFFF"/>
        </w:rPr>
        <w:t>i</w:t>
      </w:r>
      <w:r>
        <w:t>Kerja</w:t>
      </w:r>
    </w:p>
    <w:p>
      <w:pPr>
        <w:ind w:left="0" w:hanging="2"/>
        <w:jc w:val="both"/>
      </w:pPr>
      <w:r>
        <w:t>X3 = Lingkungan Kerja</w:t>
      </w:r>
    </w:p>
    <w:p>
      <w:pPr>
        <w:ind w:left="0" w:hanging="2"/>
        <w:jc w:val="both"/>
        <w:rPr>
          <w:b/>
        </w:rPr>
      </w:pPr>
    </w:p>
    <w:p>
      <w:pPr>
        <w:spacing w:line="240" w:lineRule="auto"/>
        <w:ind w:left="0" w:hanging="2"/>
        <w:rPr>
          <w:b/>
        </w:rPr>
      </w:pPr>
      <w:r>
        <w:rPr>
          <w:b/>
        </w:rPr>
        <w:t>Pengujian secara bersama (Uji F)</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Uji F memiliki fungsi untuk</w:t>
      </w:r>
      <w:r>
        <w:rPr>
          <w:color w:val="FFFFFF"/>
        </w:rPr>
        <w:t>p</w:t>
      </w:r>
      <w:r>
        <w:t>melihat pengaruh</w:t>
      </w:r>
      <w:r>
        <w:rPr>
          <w:color w:val="FFFFFF"/>
        </w:rPr>
        <w:t>p</w:t>
      </w:r>
      <w:r>
        <w:t>dari</w:t>
      </w:r>
      <w:r>
        <w:rPr>
          <w:color w:val="FFFFFF"/>
        </w:rPr>
        <w:t>p</w:t>
      </w:r>
      <w:r>
        <w:t>kepemimpinan, budaya kerja</w:t>
      </w:r>
      <w:r>
        <w:rPr>
          <w:color w:val="FFFFFF"/>
        </w:rPr>
        <w:t>i</w:t>
      </w:r>
      <w:r>
        <w:t>&amp;</w:t>
      </w:r>
      <w:r>
        <w:rPr>
          <w:color w:val="FFFFFF"/>
        </w:rPr>
        <w:t>i</w:t>
      </w:r>
      <w:r>
        <w:t>lingkungan</w:t>
      </w:r>
      <w:r>
        <w:rPr>
          <w:color w:val="FFFFFF"/>
        </w:rPr>
        <w:t>i</w:t>
      </w:r>
      <w:r>
        <w:t>kerja</w:t>
      </w:r>
      <w:r>
        <w:rPr>
          <w:color w:val="FFFFFF"/>
        </w:rPr>
        <w:t>i</w:t>
      </w:r>
      <w:r>
        <w:t>terhadap</w:t>
      </w:r>
      <w:r>
        <w:rPr>
          <w:color w:val="FFFFFF"/>
        </w:rPr>
        <w:t>i</w:t>
      </w:r>
      <w:r>
        <w:t>kinerja karyawan</w:t>
      </w:r>
      <w:r>
        <w:rPr>
          <w:color w:val="FFFFFF"/>
        </w:rPr>
        <w:t>p</w:t>
      </w:r>
      <w:r>
        <w:t>dengan melihat nilai F hitungnya. Uji F tersebut dapat</w:t>
      </w:r>
      <w:r>
        <w:rPr>
          <w:color w:val="FFFFFF"/>
        </w:rPr>
        <w:t>p</w:t>
      </w:r>
      <w:r>
        <w:t>dilihat pada</w:t>
      </w:r>
      <w:r>
        <w:rPr>
          <w:color w:val="FFFFFF"/>
        </w:rPr>
        <w:t>p</w:t>
      </w:r>
      <w:r>
        <w:t>tabel 4.13</w:t>
      </w:r>
    </w:p>
    <w:p>
      <w:pPr>
        <w:ind w:left="0" w:right="119" w:hanging="2"/>
        <w:jc w:val="both"/>
      </w:pPr>
    </w:p>
    <w:p>
      <w:pPr>
        <w:ind w:left="0" w:right="119" w:hanging="2"/>
        <w:jc w:val="both"/>
      </w:pPr>
    </w:p>
    <w:p>
      <w:pPr>
        <w:ind w:left="0" w:right="119" w:hanging="2"/>
        <w:jc w:val="both"/>
      </w:pPr>
    </w:p>
    <w:p>
      <w:pPr>
        <w:ind w:left="0" w:right="119" w:hanging="2"/>
        <w:jc w:val="both"/>
      </w:pP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Tabel 6.</w:t>
      </w: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 xml:space="preserve">Uji F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91"/>
        <w:gridCol w:w="1055"/>
        <w:gridCol w:w="1402"/>
        <w:gridCol w:w="305"/>
        <w:gridCol w:w="1180"/>
        <w:gridCol w:w="652"/>
        <w:gridCol w:w="51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gridSpan w:val="7"/>
            <w:tcBorders>
              <w:top w:val="nil"/>
              <w:left w:val="nil"/>
              <w:bottom w:val="nil"/>
              <w:right w:val="nil"/>
            </w:tcBorders>
            <w:shd w:val="clear" w:color="auto" w:fill="FFFFFF"/>
          </w:tcPr>
          <w:p>
            <w:pPr>
              <w:adjustRightInd w:val="0"/>
              <w:ind w:left="0" w:right="60" w:hanging="2"/>
              <w:jc w:val="both"/>
              <w:rPr>
                <w:color w:val="000000"/>
                <w:sz w:val="18"/>
                <w:szCs w:val="18"/>
              </w:rPr>
            </w:pPr>
            <w:r>
              <w:rPr>
                <w:b/>
                <w:bCs/>
                <w:color w:val="000000"/>
                <w:sz w:val="18"/>
                <w:szCs w:val="18"/>
              </w:rPr>
              <w:t>ANOVA</w:t>
            </w:r>
            <w:r>
              <w:rPr>
                <w:b/>
                <w:bCs/>
                <w:color w:val="000000"/>
                <w:sz w:val="18"/>
                <w:szCs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gridSpan w:val="2"/>
            <w:tcBorders>
              <w:top w:val="single" w:color="000000" w:sz="16" w:space="0"/>
              <w:left w:val="single" w:color="000000" w:sz="16" w:space="0"/>
              <w:bottom w:val="single" w:color="000000" w:sz="16" w:space="0"/>
              <w:right w:val="nil"/>
            </w:tcBorders>
            <w:shd w:val="clear" w:color="auto" w:fill="FFFFFF"/>
          </w:tcPr>
          <w:p>
            <w:pPr>
              <w:adjustRightInd w:val="0"/>
              <w:ind w:left="0" w:right="60" w:hanging="2"/>
              <w:jc w:val="both"/>
              <w:rPr>
                <w:color w:val="000000"/>
                <w:sz w:val="18"/>
                <w:szCs w:val="18"/>
              </w:rPr>
            </w:pPr>
            <w:r>
              <w:rPr>
                <w:color w:val="000000"/>
                <w:sz w:val="18"/>
                <w:szCs w:val="18"/>
              </w:rPr>
              <w:t>Model</w:t>
            </w:r>
          </w:p>
        </w:tc>
        <w:tc>
          <w:tcPr>
            <w:tcW w:w="0" w:type="auto"/>
            <w:tcBorders>
              <w:top w:val="single" w:color="000000" w:sz="16" w:space="0"/>
              <w:left w:val="single" w:color="000000" w:sz="16" w:space="0"/>
              <w:bottom w:val="single" w:color="000000" w:sz="16" w:space="0"/>
            </w:tcBorders>
            <w:shd w:val="clear" w:color="auto" w:fill="FFFFFF"/>
          </w:tcPr>
          <w:p>
            <w:pPr>
              <w:adjustRightInd w:val="0"/>
              <w:ind w:left="0" w:right="60" w:hanging="2"/>
              <w:jc w:val="both"/>
              <w:rPr>
                <w:color w:val="000000"/>
                <w:sz w:val="18"/>
                <w:szCs w:val="18"/>
              </w:rPr>
            </w:pPr>
            <w:r>
              <w:rPr>
                <w:color w:val="000000"/>
                <w:sz w:val="18"/>
                <w:szCs w:val="18"/>
              </w:rPr>
              <w:t>Sum</w:t>
            </w:r>
            <w:r>
              <w:rPr>
                <w:color w:val="FFFFFF"/>
                <w:sz w:val="18"/>
                <w:szCs w:val="18"/>
              </w:rPr>
              <w:t>i</w:t>
            </w:r>
            <w:r>
              <w:rPr>
                <w:color w:val="000000"/>
                <w:sz w:val="18"/>
                <w:szCs w:val="18"/>
              </w:rPr>
              <w:t>of Squares</w:t>
            </w:r>
          </w:p>
        </w:tc>
        <w:tc>
          <w:tcPr>
            <w:tcW w:w="0" w:type="auto"/>
            <w:tcBorders>
              <w:top w:val="single" w:color="000000" w:sz="16" w:space="0"/>
              <w:bottom w:val="single" w:color="000000" w:sz="16" w:space="0"/>
            </w:tcBorders>
            <w:shd w:val="clear" w:color="auto" w:fill="FFFFFF"/>
          </w:tcPr>
          <w:p>
            <w:pPr>
              <w:adjustRightInd w:val="0"/>
              <w:ind w:left="0" w:right="60" w:hanging="2"/>
              <w:jc w:val="both"/>
              <w:rPr>
                <w:color w:val="000000"/>
                <w:sz w:val="18"/>
                <w:szCs w:val="18"/>
              </w:rPr>
            </w:pPr>
            <w:r>
              <w:rPr>
                <w:color w:val="000000"/>
                <w:sz w:val="18"/>
                <w:szCs w:val="18"/>
              </w:rPr>
              <w:t>Df</w:t>
            </w:r>
          </w:p>
        </w:tc>
        <w:tc>
          <w:tcPr>
            <w:tcW w:w="0" w:type="auto"/>
            <w:tcBorders>
              <w:top w:val="single" w:color="000000" w:sz="16" w:space="0"/>
              <w:bottom w:val="single" w:color="000000" w:sz="16" w:space="0"/>
            </w:tcBorders>
            <w:shd w:val="clear" w:color="auto" w:fill="FFFFFF"/>
          </w:tcPr>
          <w:p>
            <w:pPr>
              <w:adjustRightInd w:val="0"/>
              <w:ind w:left="0" w:right="60" w:hanging="2"/>
              <w:jc w:val="both"/>
              <w:rPr>
                <w:color w:val="000000"/>
                <w:sz w:val="18"/>
                <w:szCs w:val="18"/>
              </w:rPr>
            </w:pPr>
            <w:r>
              <w:rPr>
                <w:color w:val="000000"/>
                <w:sz w:val="18"/>
                <w:szCs w:val="18"/>
              </w:rPr>
              <w:t>Mean</w:t>
            </w:r>
            <w:r>
              <w:rPr>
                <w:color w:val="FFFFFF"/>
                <w:sz w:val="18"/>
                <w:szCs w:val="18"/>
              </w:rPr>
              <w:t>i</w:t>
            </w:r>
            <w:r>
              <w:rPr>
                <w:color w:val="000000"/>
                <w:sz w:val="18"/>
                <w:szCs w:val="18"/>
              </w:rPr>
              <w:t>Square</w:t>
            </w:r>
          </w:p>
        </w:tc>
        <w:tc>
          <w:tcPr>
            <w:tcW w:w="0" w:type="auto"/>
            <w:tcBorders>
              <w:top w:val="single" w:color="000000" w:sz="16" w:space="0"/>
              <w:bottom w:val="single" w:color="000000" w:sz="16" w:space="0"/>
            </w:tcBorders>
            <w:shd w:val="clear" w:color="auto" w:fill="FFFFFF"/>
          </w:tcPr>
          <w:p>
            <w:pPr>
              <w:adjustRightInd w:val="0"/>
              <w:ind w:left="0" w:right="60" w:hanging="2"/>
              <w:jc w:val="both"/>
              <w:rPr>
                <w:color w:val="000000"/>
                <w:sz w:val="18"/>
                <w:szCs w:val="18"/>
              </w:rPr>
            </w:pPr>
            <w:r>
              <w:rPr>
                <w:color w:val="000000"/>
                <w:sz w:val="18"/>
                <w:szCs w:val="18"/>
              </w:rPr>
              <w:t>F</w:t>
            </w:r>
          </w:p>
        </w:tc>
        <w:tc>
          <w:tcPr>
            <w:tcW w:w="0" w:type="auto"/>
            <w:tcBorders>
              <w:top w:val="single" w:color="000000" w:sz="16" w:space="0"/>
              <w:bottom w:val="single" w:color="000000" w:sz="16" w:space="0"/>
              <w:right w:val="single" w:color="000000" w:sz="16" w:space="0"/>
            </w:tcBorders>
            <w:shd w:val="clear" w:color="auto" w:fill="FFFFFF"/>
          </w:tcPr>
          <w:p>
            <w:pPr>
              <w:adjustRightInd w:val="0"/>
              <w:ind w:left="0" w:right="60" w:hanging="2"/>
              <w:jc w:val="both"/>
              <w:rPr>
                <w:color w:val="000000"/>
                <w:sz w:val="18"/>
                <w:szCs w:val="18"/>
              </w:rPr>
            </w:pPr>
            <w:r>
              <w:rPr>
                <w:color w:val="000000"/>
                <w:sz w:val="18"/>
                <w:szCs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vMerge w:val="restart"/>
            <w:tcBorders>
              <w:top w:val="single" w:color="000000" w:sz="16" w:space="0"/>
              <w:left w:val="single" w:color="000000" w:sz="16" w:space="0"/>
              <w:bottom w:val="single" w:color="000000" w:sz="16" w:space="0"/>
              <w:right w:val="nil"/>
            </w:tcBorders>
            <w:shd w:val="clear" w:color="auto" w:fill="FFFFFF"/>
            <w:vAlign w:val="center"/>
          </w:tcPr>
          <w:p>
            <w:pPr>
              <w:adjustRightInd w:val="0"/>
              <w:ind w:left="0" w:right="60" w:hanging="2"/>
              <w:jc w:val="both"/>
              <w:rPr>
                <w:color w:val="000000"/>
                <w:sz w:val="18"/>
                <w:szCs w:val="18"/>
              </w:rPr>
            </w:pPr>
            <w:r>
              <w:rPr>
                <w:color w:val="000000"/>
                <w:sz w:val="18"/>
                <w:szCs w:val="18"/>
              </w:rPr>
              <w:t>1</w:t>
            </w:r>
          </w:p>
        </w:tc>
        <w:tc>
          <w:tcPr>
            <w:tcW w:w="0" w:type="auto"/>
            <w:tcBorders>
              <w:top w:val="single" w:color="000000" w:sz="16" w:space="0"/>
              <w:left w:val="nil"/>
              <w:bottom w:val="nil"/>
              <w:right w:val="single" w:color="000000" w:sz="16" w:space="0"/>
            </w:tcBorders>
            <w:shd w:val="clear" w:color="auto" w:fill="FFFFFF"/>
            <w:vAlign w:val="center"/>
          </w:tcPr>
          <w:p>
            <w:pPr>
              <w:adjustRightInd w:val="0"/>
              <w:ind w:left="0" w:right="60" w:hanging="2"/>
              <w:jc w:val="both"/>
              <w:rPr>
                <w:color w:val="000000"/>
                <w:sz w:val="18"/>
                <w:szCs w:val="18"/>
              </w:rPr>
            </w:pPr>
            <w:r>
              <w:rPr>
                <w:color w:val="000000"/>
                <w:sz w:val="18"/>
                <w:szCs w:val="18"/>
              </w:rPr>
              <w:t>Regression</w:t>
            </w:r>
            <w:r>
              <w:rPr>
                <w:color w:val="FFFFFF"/>
                <w:sz w:val="18"/>
                <w:szCs w:val="18"/>
              </w:rPr>
              <w:t>i</w:t>
            </w:r>
          </w:p>
        </w:tc>
        <w:tc>
          <w:tcPr>
            <w:tcW w:w="0" w:type="auto"/>
            <w:tcBorders>
              <w:top w:val="single" w:color="000000" w:sz="16" w:space="0"/>
              <w:left w:val="single" w:color="000000" w:sz="16" w:space="0"/>
              <w:bottom w:val="nil"/>
            </w:tcBorders>
            <w:shd w:val="clear" w:color="auto" w:fill="FFFFFF"/>
            <w:vAlign w:val="center"/>
          </w:tcPr>
          <w:p>
            <w:pPr>
              <w:adjustRightInd w:val="0"/>
              <w:ind w:left="0" w:right="60" w:hanging="2"/>
              <w:jc w:val="both"/>
              <w:rPr>
                <w:color w:val="000000"/>
                <w:sz w:val="18"/>
                <w:szCs w:val="18"/>
              </w:rPr>
            </w:pPr>
            <w:r>
              <w:rPr>
                <w:color w:val="000000"/>
                <w:sz w:val="18"/>
                <w:szCs w:val="18"/>
              </w:rPr>
              <w:t>3.551</w:t>
            </w:r>
          </w:p>
        </w:tc>
        <w:tc>
          <w:tcPr>
            <w:tcW w:w="0" w:type="auto"/>
            <w:tcBorders>
              <w:top w:val="single" w:color="000000" w:sz="16" w:space="0"/>
              <w:bottom w:val="nil"/>
            </w:tcBorders>
            <w:shd w:val="clear" w:color="auto" w:fill="FFFFFF"/>
            <w:vAlign w:val="center"/>
          </w:tcPr>
          <w:p>
            <w:pPr>
              <w:adjustRightInd w:val="0"/>
              <w:ind w:left="0" w:right="60" w:hanging="2"/>
              <w:jc w:val="both"/>
              <w:rPr>
                <w:color w:val="000000"/>
                <w:sz w:val="18"/>
                <w:szCs w:val="18"/>
              </w:rPr>
            </w:pPr>
            <w:r>
              <w:rPr>
                <w:color w:val="000000"/>
                <w:sz w:val="18"/>
                <w:szCs w:val="18"/>
              </w:rPr>
              <w:t>3</w:t>
            </w:r>
          </w:p>
        </w:tc>
        <w:tc>
          <w:tcPr>
            <w:tcW w:w="0" w:type="auto"/>
            <w:tcBorders>
              <w:top w:val="single" w:color="000000" w:sz="16" w:space="0"/>
              <w:bottom w:val="nil"/>
            </w:tcBorders>
            <w:shd w:val="clear" w:color="auto" w:fill="FFFFFF"/>
            <w:vAlign w:val="center"/>
          </w:tcPr>
          <w:p>
            <w:pPr>
              <w:adjustRightInd w:val="0"/>
              <w:ind w:left="0" w:right="60" w:hanging="2"/>
              <w:jc w:val="both"/>
              <w:rPr>
                <w:color w:val="000000"/>
                <w:sz w:val="18"/>
                <w:szCs w:val="18"/>
              </w:rPr>
            </w:pPr>
            <w:r>
              <w:rPr>
                <w:color w:val="000000"/>
                <w:sz w:val="18"/>
                <w:szCs w:val="18"/>
              </w:rPr>
              <w:t>72.686</w:t>
            </w:r>
          </w:p>
        </w:tc>
        <w:tc>
          <w:tcPr>
            <w:tcW w:w="0" w:type="auto"/>
            <w:tcBorders>
              <w:top w:val="single" w:color="000000" w:sz="16" w:space="0"/>
              <w:bottom w:val="nil"/>
            </w:tcBorders>
            <w:shd w:val="clear" w:color="auto" w:fill="FFFFFF"/>
            <w:vAlign w:val="center"/>
          </w:tcPr>
          <w:p>
            <w:pPr>
              <w:adjustRightInd w:val="0"/>
              <w:ind w:left="0" w:right="60" w:hanging="2"/>
              <w:jc w:val="both"/>
              <w:rPr>
                <w:color w:val="000000"/>
                <w:sz w:val="18"/>
                <w:szCs w:val="18"/>
              </w:rPr>
            </w:pPr>
            <w:r>
              <w:rPr>
                <w:color w:val="000000"/>
                <w:sz w:val="18"/>
                <w:szCs w:val="18"/>
              </w:rPr>
              <w:t>14.698</w:t>
            </w:r>
          </w:p>
        </w:tc>
        <w:tc>
          <w:tcPr>
            <w:tcW w:w="0" w:type="auto"/>
            <w:tcBorders>
              <w:top w:val="single" w:color="000000" w:sz="16" w:space="0"/>
              <w:bottom w:val="nil"/>
              <w:right w:val="single" w:color="000000" w:sz="16" w:space="0"/>
            </w:tcBorders>
            <w:shd w:val="clear" w:color="auto" w:fill="FFFFFF"/>
            <w:vAlign w:val="center"/>
          </w:tcPr>
          <w:p>
            <w:pPr>
              <w:adjustRightInd w:val="0"/>
              <w:ind w:left="0" w:right="60" w:hanging="2"/>
              <w:jc w:val="both"/>
              <w:rPr>
                <w:color w:val="000000"/>
                <w:sz w:val="18"/>
                <w:szCs w:val="18"/>
                <w:vertAlign w:val="superscript"/>
              </w:rPr>
            </w:pPr>
            <w:r>
              <w:rPr>
                <w:color w:val="000000"/>
                <w:sz w:val="18"/>
                <w:szCs w:val="18"/>
              </w:rPr>
              <w:t>.000</w:t>
            </w:r>
            <w:r>
              <w:rPr>
                <w:color w:val="000000"/>
                <w:sz w:val="18"/>
                <w:szCs w:val="18"/>
                <w:vertAlign w:val="superscript"/>
              </w:rPr>
              <w:t>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color w:val="000000"/>
                <w:sz w:val="18"/>
                <w:szCs w:val="18"/>
              </w:rPr>
            </w:pPr>
          </w:p>
        </w:tc>
        <w:tc>
          <w:tcPr>
            <w:tcW w:w="0" w:type="auto"/>
            <w:tcBorders>
              <w:top w:val="nil"/>
              <w:left w:val="nil"/>
              <w:bottom w:val="nil"/>
              <w:right w:val="single" w:color="000000" w:sz="16" w:space="0"/>
            </w:tcBorders>
            <w:shd w:val="clear" w:color="auto" w:fill="FFFFFF"/>
            <w:vAlign w:val="center"/>
          </w:tcPr>
          <w:p>
            <w:pPr>
              <w:adjustRightInd w:val="0"/>
              <w:ind w:left="0" w:right="60" w:hanging="2"/>
              <w:jc w:val="both"/>
              <w:rPr>
                <w:color w:val="000000"/>
                <w:sz w:val="18"/>
                <w:szCs w:val="18"/>
              </w:rPr>
            </w:pPr>
            <w:r>
              <w:rPr>
                <w:color w:val="000000"/>
                <w:sz w:val="18"/>
                <w:szCs w:val="18"/>
              </w:rPr>
              <w:t>Residual</w:t>
            </w:r>
            <w:r>
              <w:rPr>
                <w:color w:val="FFFFFF"/>
                <w:sz w:val="18"/>
                <w:szCs w:val="18"/>
              </w:rPr>
              <w:t>i</w:t>
            </w:r>
          </w:p>
        </w:tc>
        <w:tc>
          <w:tcPr>
            <w:tcW w:w="0" w:type="auto"/>
            <w:tcBorders>
              <w:top w:val="nil"/>
              <w:left w:val="single" w:color="000000" w:sz="16" w:space="0"/>
              <w:bottom w:val="nil"/>
            </w:tcBorders>
            <w:shd w:val="clear" w:color="auto" w:fill="FFFFFF"/>
            <w:vAlign w:val="center"/>
          </w:tcPr>
          <w:p>
            <w:pPr>
              <w:adjustRightInd w:val="0"/>
              <w:ind w:left="0" w:right="60" w:hanging="2"/>
              <w:jc w:val="both"/>
              <w:rPr>
                <w:color w:val="000000"/>
                <w:sz w:val="18"/>
                <w:szCs w:val="18"/>
              </w:rPr>
            </w:pPr>
            <w:r>
              <w:rPr>
                <w:color w:val="000000"/>
                <w:sz w:val="18"/>
                <w:szCs w:val="18"/>
              </w:rPr>
              <w:t>20.735</w:t>
            </w:r>
          </w:p>
        </w:tc>
        <w:tc>
          <w:tcPr>
            <w:tcW w:w="0" w:type="auto"/>
            <w:tcBorders>
              <w:top w:val="nil"/>
              <w:bottom w:val="nil"/>
            </w:tcBorders>
            <w:shd w:val="clear" w:color="auto" w:fill="FFFFFF"/>
            <w:vAlign w:val="center"/>
          </w:tcPr>
          <w:p>
            <w:pPr>
              <w:adjustRightInd w:val="0"/>
              <w:ind w:left="0" w:right="60" w:hanging="2"/>
              <w:jc w:val="both"/>
              <w:rPr>
                <w:color w:val="000000"/>
                <w:sz w:val="18"/>
                <w:szCs w:val="18"/>
              </w:rPr>
            </w:pPr>
            <w:r>
              <w:rPr>
                <w:color w:val="000000"/>
                <w:sz w:val="18"/>
                <w:szCs w:val="18"/>
              </w:rPr>
              <w:t>17</w:t>
            </w:r>
          </w:p>
        </w:tc>
        <w:tc>
          <w:tcPr>
            <w:tcW w:w="0" w:type="auto"/>
            <w:tcBorders>
              <w:top w:val="nil"/>
              <w:bottom w:val="nil"/>
            </w:tcBorders>
            <w:shd w:val="clear" w:color="auto" w:fill="FFFFFF"/>
            <w:vAlign w:val="center"/>
          </w:tcPr>
          <w:p>
            <w:pPr>
              <w:adjustRightInd w:val="0"/>
              <w:ind w:left="0" w:right="60" w:hanging="2"/>
              <w:jc w:val="both"/>
              <w:rPr>
                <w:color w:val="000000"/>
                <w:sz w:val="18"/>
                <w:szCs w:val="18"/>
              </w:rPr>
            </w:pPr>
            <w:r>
              <w:rPr>
                <w:color w:val="000000"/>
                <w:sz w:val="18"/>
                <w:szCs w:val="18"/>
              </w:rPr>
              <w:t>4.945</w:t>
            </w:r>
          </w:p>
        </w:tc>
        <w:tc>
          <w:tcPr>
            <w:tcW w:w="0" w:type="auto"/>
            <w:tcBorders>
              <w:top w:val="nil"/>
              <w:bottom w:val="nil"/>
            </w:tcBorders>
            <w:shd w:val="clear" w:color="auto" w:fill="FFFFFF"/>
          </w:tcPr>
          <w:p>
            <w:pPr>
              <w:adjustRightInd w:val="0"/>
              <w:ind w:left="0" w:hanging="2"/>
              <w:jc w:val="both"/>
              <w:rPr>
                <w:sz w:val="18"/>
                <w:szCs w:val="18"/>
              </w:rPr>
            </w:pPr>
          </w:p>
        </w:tc>
        <w:tc>
          <w:tcPr>
            <w:tcW w:w="0" w:type="auto"/>
            <w:tcBorders>
              <w:top w:val="nil"/>
              <w:bottom w:val="nil"/>
              <w:right w:val="single" w:color="000000" w:sz="16" w:space="0"/>
            </w:tcBorders>
            <w:shd w:val="clear" w:color="auto" w:fill="FFFFFF"/>
          </w:tcPr>
          <w:p>
            <w:pPr>
              <w:adjustRightInd w:val="0"/>
              <w:ind w:left="0" w:hanging="2"/>
              <w:jc w:val="both"/>
              <w:rPr>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Height w:val="66" w:hRule="atLeast"/>
          <w:jc w:val="center"/>
        </w:trPr>
        <w:tc>
          <w:tcPr>
            <w:tcW w:w="0" w:type="auto"/>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sz w:val="18"/>
                <w:szCs w:val="18"/>
              </w:rPr>
            </w:pPr>
          </w:p>
        </w:tc>
        <w:tc>
          <w:tcPr>
            <w:tcW w:w="0" w:type="auto"/>
            <w:tcBorders>
              <w:top w:val="nil"/>
              <w:left w:val="nil"/>
              <w:bottom w:val="single" w:color="000000" w:sz="16" w:space="0"/>
              <w:right w:val="single" w:color="000000" w:sz="16" w:space="0"/>
            </w:tcBorders>
            <w:shd w:val="clear" w:color="auto" w:fill="FFFFFF"/>
            <w:vAlign w:val="center"/>
          </w:tcPr>
          <w:p>
            <w:pPr>
              <w:adjustRightInd w:val="0"/>
              <w:ind w:left="0" w:right="60" w:hanging="2"/>
              <w:jc w:val="both"/>
              <w:rPr>
                <w:color w:val="000000"/>
                <w:sz w:val="18"/>
                <w:szCs w:val="18"/>
              </w:rPr>
            </w:pPr>
            <w:r>
              <w:rPr>
                <w:color w:val="000000"/>
                <w:sz w:val="18"/>
                <w:szCs w:val="18"/>
              </w:rPr>
              <w:t>Total</w:t>
            </w:r>
            <w:r>
              <w:rPr>
                <w:color w:val="FFFFFF"/>
                <w:sz w:val="18"/>
                <w:szCs w:val="18"/>
              </w:rPr>
              <w:t>i</w:t>
            </w:r>
          </w:p>
        </w:tc>
        <w:tc>
          <w:tcPr>
            <w:tcW w:w="0" w:type="auto"/>
            <w:tcBorders>
              <w:top w:val="nil"/>
              <w:left w:val="single" w:color="000000" w:sz="16" w:space="0"/>
              <w:bottom w:val="single" w:color="000000" w:sz="16" w:space="0"/>
            </w:tcBorders>
            <w:shd w:val="clear" w:color="auto" w:fill="FFFFFF"/>
            <w:vAlign w:val="center"/>
          </w:tcPr>
          <w:p>
            <w:pPr>
              <w:adjustRightInd w:val="0"/>
              <w:ind w:left="0" w:right="60" w:hanging="2"/>
              <w:jc w:val="both"/>
              <w:rPr>
                <w:color w:val="000000"/>
                <w:sz w:val="18"/>
                <w:szCs w:val="18"/>
              </w:rPr>
            </w:pPr>
            <w:r>
              <w:rPr>
                <w:color w:val="000000"/>
                <w:sz w:val="18"/>
                <w:szCs w:val="18"/>
              </w:rPr>
              <w:t>24.286</w:t>
            </w:r>
          </w:p>
        </w:tc>
        <w:tc>
          <w:tcPr>
            <w:tcW w:w="0" w:type="auto"/>
            <w:tcBorders>
              <w:top w:val="nil"/>
              <w:bottom w:val="single" w:color="000000" w:sz="16" w:space="0"/>
            </w:tcBorders>
            <w:shd w:val="clear" w:color="auto" w:fill="FFFFFF"/>
            <w:vAlign w:val="center"/>
          </w:tcPr>
          <w:p>
            <w:pPr>
              <w:adjustRightInd w:val="0"/>
              <w:ind w:left="0" w:right="60" w:hanging="2"/>
              <w:jc w:val="both"/>
              <w:rPr>
                <w:color w:val="000000"/>
                <w:sz w:val="18"/>
                <w:szCs w:val="18"/>
              </w:rPr>
            </w:pPr>
            <w:r>
              <w:rPr>
                <w:color w:val="000000"/>
                <w:sz w:val="18"/>
                <w:szCs w:val="18"/>
              </w:rPr>
              <w:t>20</w:t>
            </w:r>
          </w:p>
        </w:tc>
        <w:tc>
          <w:tcPr>
            <w:tcW w:w="0" w:type="auto"/>
            <w:tcBorders>
              <w:top w:val="nil"/>
              <w:bottom w:val="single" w:color="000000" w:sz="16" w:space="0"/>
            </w:tcBorders>
            <w:shd w:val="clear" w:color="auto" w:fill="FFFFFF"/>
          </w:tcPr>
          <w:p>
            <w:pPr>
              <w:adjustRightInd w:val="0"/>
              <w:ind w:left="0" w:hanging="2"/>
              <w:jc w:val="both"/>
              <w:rPr>
                <w:sz w:val="18"/>
                <w:szCs w:val="18"/>
              </w:rPr>
            </w:pPr>
          </w:p>
        </w:tc>
        <w:tc>
          <w:tcPr>
            <w:tcW w:w="0" w:type="auto"/>
            <w:tcBorders>
              <w:top w:val="nil"/>
              <w:bottom w:val="single" w:color="000000" w:sz="16" w:space="0"/>
            </w:tcBorders>
            <w:shd w:val="clear" w:color="auto" w:fill="FFFFFF"/>
          </w:tcPr>
          <w:p>
            <w:pPr>
              <w:adjustRightInd w:val="0"/>
              <w:ind w:left="0" w:hanging="2"/>
              <w:jc w:val="both"/>
              <w:rPr>
                <w:sz w:val="18"/>
                <w:szCs w:val="18"/>
              </w:rPr>
            </w:pPr>
          </w:p>
        </w:tc>
        <w:tc>
          <w:tcPr>
            <w:tcW w:w="0" w:type="auto"/>
            <w:tcBorders>
              <w:top w:val="nil"/>
              <w:bottom w:val="single" w:color="000000" w:sz="16" w:space="0"/>
              <w:right w:val="single" w:color="000000" w:sz="16" w:space="0"/>
            </w:tcBorders>
            <w:shd w:val="clear" w:color="auto" w:fill="FFFFFF"/>
          </w:tcPr>
          <w:p>
            <w:pPr>
              <w:adjustRightInd w:val="0"/>
              <w:ind w:left="0" w:hanging="2"/>
              <w:jc w:val="both"/>
              <w:rPr>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gridSpan w:val="7"/>
            <w:tcBorders>
              <w:top w:val="nil"/>
              <w:left w:val="nil"/>
              <w:bottom w:val="nil"/>
              <w:right w:val="nil"/>
            </w:tcBorders>
            <w:shd w:val="clear" w:color="auto" w:fill="FFFFFF"/>
          </w:tcPr>
          <w:p>
            <w:pPr>
              <w:adjustRightInd w:val="0"/>
              <w:ind w:left="0" w:right="60" w:hanging="2"/>
              <w:jc w:val="both"/>
              <w:rPr>
                <w:color w:val="000000"/>
                <w:sz w:val="18"/>
                <w:szCs w:val="18"/>
              </w:rPr>
            </w:pPr>
            <w:r>
              <w:rPr>
                <w:color w:val="000000"/>
                <w:sz w:val="18"/>
                <w:szCs w:val="18"/>
              </w:rPr>
              <w:t>a. Dependent</w:t>
            </w:r>
            <w:r>
              <w:rPr>
                <w:color w:val="FFFFFF"/>
                <w:sz w:val="18"/>
                <w:szCs w:val="18"/>
              </w:rPr>
              <w:t>i</w:t>
            </w:r>
            <w:r>
              <w:rPr>
                <w:color w:val="000000"/>
                <w:sz w:val="18"/>
                <w:szCs w:val="18"/>
              </w:rPr>
              <w:t>Variable: kinerja</w:t>
            </w:r>
            <w:r>
              <w:rPr>
                <w:color w:val="FFFFFF"/>
                <w:sz w:val="18"/>
                <w:szCs w:val="18"/>
              </w:rPr>
              <w:t>i</w:t>
            </w:r>
            <w:r>
              <w:rPr>
                <w:color w:val="000000"/>
                <w:sz w:val="18"/>
                <w:szCs w:val="18"/>
              </w:rPr>
              <w:t>karyawan</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jc w:val="center"/>
        </w:trPr>
        <w:tc>
          <w:tcPr>
            <w:tcW w:w="0" w:type="auto"/>
            <w:gridSpan w:val="7"/>
            <w:tcBorders>
              <w:top w:val="nil"/>
              <w:left w:val="nil"/>
              <w:bottom w:val="nil"/>
              <w:right w:val="nil"/>
            </w:tcBorders>
            <w:shd w:val="clear" w:color="auto" w:fill="FFFFFF"/>
          </w:tcPr>
          <w:p>
            <w:pPr>
              <w:adjustRightInd w:val="0"/>
              <w:ind w:left="0" w:right="60" w:hanging="2"/>
              <w:jc w:val="both"/>
              <w:rPr>
                <w:color w:val="000000"/>
                <w:sz w:val="18"/>
                <w:szCs w:val="18"/>
              </w:rPr>
            </w:pPr>
            <w:r>
              <w:rPr>
                <w:color w:val="000000"/>
                <w:sz w:val="18"/>
                <w:szCs w:val="18"/>
              </w:rPr>
              <w:t xml:space="preserve">b. Predictors: (Constant), kepemimpinan, budaya kerja, lingkungan kerja </w:t>
            </w:r>
          </w:p>
        </w:tc>
      </w:tr>
    </w:tbl>
    <w:p>
      <w:pPr>
        <w:pStyle w:val="11"/>
        <w:ind w:left="0" w:leftChars="0" w:firstLine="0" w:firstLineChars="0"/>
        <w:jc w:val="both"/>
      </w:pPr>
      <w:r>
        <w:t xml:space="preserve">                           Sumber: data primer diolah 2022</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Berdasar tabel</w:t>
      </w:r>
      <w:r>
        <w:rPr>
          <w:color w:val="FFFFFF"/>
        </w:rPr>
        <w:t>i</w:t>
      </w:r>
      <w:r>
        <w:t>diatas</w:t>
      </w:r>
      <w:r>
        <w:rPr>
          <w:color w:val="FFFFFF"/>
        </w:rPr>
        <w:t>i</w:t>
      </w:r>
      <w:r>
        <w:t>Nilai F</w:t>
      </w:r>
      <w:r>
        <w:rPr>
          <w:color w:val="FFFFFF"/>
        </w:rPr>
        <w:t>i</w:t>
      </w:r>
      <w:r>
        <w:t>sebesar 14,698 dengan tingkat nilai signifikan 0,000 diperoleh dari</w:t>
      </w:r>
      <w:r>
        <w:rPr>
          <w:color w:val="FFFFFF"/>
        </w:rPr>
        <w:t>i</w:t>
      </w:r>
      <w:r>
        <w:t>hasil</w:t>
      </w:r>
      <w:r>
        <w:rPr>
          <w:color w:val="FFFFFF"/>
        </w:rPr>
        <w:t>i</w:t>
      </w:r>
      <w:r>
        <w:t>uji F</w:t>
      </w:r>
      <w:r>
        <w:rPr>
          <w:color w:val="FFFFFF"/>
        </w:rPr>
        <w:t>i</w:t>
      </w:r>
      <w:r>
        <w:t>pada tabel</w:t>
      </w:r>
      <w:r>
        <w:rPr>
          <w:color w:val="FFFFFF"/>
        </w:rPr>
        <w:t>i</w:t>
      </w:r>
      <w:r>
        <w:t>di</w:t>
      </w:r>
      <w:r>
        <w:rPr>
          <w:color w:val="FFFFFF"/>
        </w:rPr>
        <w:t>i</w:t>
      </w:r>
      <w:r>
        <w:t>atas. Jika Fhitung Ftabel (14,698 &gt; 2,7023), maka H0 ditolak. Itu kurang dari 0,05, menghasilkan nilai signifikan 0,000. Oleh karena itu, dapat</w:t>
      </w:r>
      <w:r>
        <w:rPr>
          <w:color w:val="FFFFFF"/>
        </w:rPr>
        <w:t>i</w:t>
      </w:r>
      <w:r>
        <w:t>disimpulkan</w:t>
      </w:r>
      <w:r>
        <w:rPr>
          <w:color w:val="FFFFFF"/>
        </w:rPr>
        <w:t>i</w:t>
      </w:r>
      <w:r>
        <w:t>bahwa</w:t>
      </w:r>
      <w:r>
        <w:rPr>
          <w:color w:val="FFFFFF"/>
        </w:rPr>
        <w:t>i</w:t>
      </w:r>
      <w:r>
        <w:t>kepemimpinan, budaya kerja, dan lingkungan kerja semuanya memainkan peran penting dalam seberapa baik kinerja karyawan. Uji statistik F mengukur pengaruh simultan (bersama/bersama) variabel X terhadap variabel Y.</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p>
    <w:p>
      <w:pPr>
        <w:spacing w:line="240" w:lineRule="auto"/>
        <w:ind w:left="0" w:hanging="2"/>
        <w:rPr>
          <w:b/>
        </w:rPr>
      </w:pPr>
      <w:r>
        <w:rPr>
          <w:b/>
        </w:rPr>
        <w:t>Pengujian secara Parsial (Uji-t)</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Uji t adalah  hipotesis untuk mencari apakah</w:t>
      </w:r>
      <w:r>
        <w:rPr>
          <w:color w:val="FFFFFF"/>
        </w:rPr>
        <w:t>i</w:t>
      </w:r>
      <w:r>
        <w:t>terdapat pengaruh</w:t>
      </w:r>
      <w:r>
        <w:rPr>
          <w:color w:val="FFFFFF"/>
        </w:rPr>
        <w:t>i</w:t>
      </w:r>
      <w:r>
        <w:t>antara variabel bebas</w:t>
      </w:r>
      <w:r>
        <w:rPr>
          <w:color w:val="FFFFFF"/>
        </w:rPr>
        <w:t>i</w:t>
      </w:r>
      <w:r>
        <w:t>terhadap variabel</w:t>
      </w:r>
      <w:r>
        <w:rPr>
          <w:color w:val="FFFFFF"/>
        </w:rPr>
        <w:t>i</w:t>
      </w:r>
      <w:r>
        <w:t>terikat secara</w:t>
      </w:r>
      <w:r>
        <w:rPr>
          <w:color w:val="FFFFFF"/>
        </w:rPr>
        <w:t>i</w:t>
      </w:r>
      <w:r>
        <w:t>parsial. Adapun</w:t>
      </w:r>
      <w:r>
        <w:rPr>
          <w:color w:val="FFFFFF"/>
        </w:rPr>
        <w:t>i</w:t>
      </w:r>
      <w:r>
        <w:t>hasil pengujiannya secara parsial</w:t>
      </w:r>
      <w:r>
        <w:rPr>
          <w:color w:val="FFFFFF"/>
        </w:rPr>
        <w:t>i</w:t>
      </w:r>
      <w:r>
        <w:t>dapat</w:t>
      </w:r>
      <w:r>
        <w:rPr>
          <w:color w:val="FFFFFF"/>
        </w:rPr>
        <w:t>i</w:t>
      </w:r>
      <w:r>
        <w:t>dilihat</w:t>
      </w:r>
      <w:r>
        <w:rPr>
          <w:color w:val="FFFFFF"/>
        </w:rPr>
        <w:t>i</w:t>
      </w:r>
      <w:r>
        <w:t>pada</w:t>
      </w:r>
      <w:r>
        <w:rPr>
          <w:color w:val="FFFFFF"/>
        </w:rPr>
        <w:t>i</w:t>
      </w:r>
      <w:r>
        <w:t>tabel 4.11</w:t>
      </w: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Tabel 7.</w:t>
      </w:r>
    </w:p>
    <w:p>
      <w:pPr>
        <w:pStyle w:val="34"/>
        <w:spacing w:after="0" w:line="240" w:lineRule="auto"/>
        <w:ind w:left="0" w:hanging="2"/>
        <w:jc w:val="center"/>
        <w:rPr>
          <w:sz w:val="24"/>
          <w:szCs w:val="24"/>
        </w:rPr>
      </w:pPr>
      <w:r>
        <w:rPr>
          <w:rFonts w:ascii="Times New Roman" w:hAnsi="Times New Roman" w:cs="Times New Roman"/>
          <w:b/>
          <w:bCs/>
          <w:color w:val="000000"/>
          <w:sz w:val="24"/>
          <w:szCs w:val="24"/>
        </w:rPr>
        <w:t>Uji t</w:t>
      </w:r>
    </w:p>
    <w:tbl>
      <w:tblPr>
        <w:tblStyle w:val="9"/>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79"/>
        <w:gridCol w:w="2109"/>
        <w:gridCol w:w="1023"/>
        <w:gridCol w:w="1307"/>
        <w:gridCol w:w="2130"/>
        <w:gridCol w:w="529"/>
        <w:gridCol w:w="43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88" w:type="dxa"/>
            <w:gridSpan w:val="2"/>
            <w:vMerge w:val="restart"/>
            <w:tcBorders>
              <w:top w:val="single" w:color="000000" w:sz="16" w:space="0"/>
              <w:left w:val="single" w:color="000000" w:sz="16" w:space="0"/>
              <w:bottom w:val="nil"/>
              <w:right w:val="nil"/>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Model</w:t>
            </w:r>
          </w:p>
        </w:tc>
        <w:tc>
          <w:tcPr>
            <w:tcW w:w="0" w:type="auto"/>
            <w:gridSpan w:val="2"/>
            <w:tcBorders>
              <w:top w:val="single" w:color="000000" w:sz="16" w:space="0"/>
              <w:left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Unstandardized</w:t>
            </w:r>
            <w:r>
              <w:rPr>
                <w:rFonts w:ascii="Arial" w:hAnsi="Arial" w:cs="Arial"/>
                <w:color w:val="FFFFFF"/>
                <w:sz w:val="18"/>
                <w:szCs w:val="18"/>
              </w:rPr>
              <w:t>i</w:t>
            </w:r>
            <w:r>
              <w:rPr>
                <w:rFonts w:ascii="Arial" w:hAnsi="Arial" w:cs="Arial"/>
                <w:sz w:val="18"/>
                <w:szCs w:val="18"/>
              </w:rPr>
              <w:t>Coefficients</w:t>
            </w:r>
          </w:p>
        </w:tc>
        <w:tc>
          <w:tcPr>
            <w:tcW w:w="0" w:type="auto"/>
            <w:tcBorders>
              <w:top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Standardized Coefficients</w:t>
            </w:r>
          </w:p>
        </w:tc>
        <w:tc>
          <w:tcPr>
            <w:tcW w:w="0" w:type="auto"/>
            <w:vMerge w:val="restart"/>
            <w:tcBorders>
              <w:top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t</w:t>
            </w:r>
          </w:p>
        </w:tc>
        <w:tc>
          <w:tcPr>
            <w:tcW w:w="0" w:type="auto"/>
            <w:vMerge w:val="restart"/>
            <w:tcBorders>
              <w:top w:val="single" w:color="000000" w:sz="16" w:space="0"/>
              <w:right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Sig.</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2288" w:type="dxa"/>
            <w:gridSpan w:val="2"/>
            <w:vMerge w:val="continue"/>
            <w:tcBorders>
              <w:top w:val="single" w:color="000000" w:sz="16" w:space="0"/>
              <w:left w:val="single" w:color="000000" w:sz="16" w:space="0"/>
              <w:bottom w:val="nil"/>
              <w:right w:val="nil"/>
            </w:tcBorders>
            <w:shd w:val="clear" w:color="auto" w:fill="FFFFFF"/>
          </w:tcPr>
          <w:p>
            <w:pPr>
              <w:adjustRightInd w:val="0"/>
              <w:ind w:left="0" w:hanging="2"/>
              <w:jc w:val="both"/>
              <w:rPr>
                <w:rFonts w:ascii="Arial" w:hAnsi="Arial" w:cs="Arial"/>
                <w:sz w:val="18"/>
                <w:szCs w:val="18"/>
              </w:rPr>
            </w:pPr>
          </w:p>
        </w:tc>
        <w:tc>
          <w:tcPr>
            <w:tcW w:w="0" w:type="auto"/>
            <w:tcBorders>
              <w:left w:val="single" w:color="000000" w:sz="16" w:space="0"/>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B</w:t>
            </w:r>
          </w:p>
        </w:tc>
        <w:tc>
          <w:tcPr>
            <w:tcW w:w="0" w:type="auto"/>
            <w:tcBorders>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Std. Error</w:t>
            </w:r>
          </w:p>
        </w:tc>
        <w:tc>
          <w:tcPr>
            <w:tcW w:w="0" w:type="auto"/>
            <w:tcBorders>
              <w:bottom w:val="single" w:color="000000" w:sz="16" w:space="0"/>
            </w:tcBorders>
            <w:shd w:val="clear" w:color="auto" w:fill="FFFFFF"/>
          </w:tcPr>
          <w:p>
            <w:pPr>
              <w:adjustRightInd w:val="0"/>
              <w:ind w:left="0" w:right="60" w:hanging="2"/>
              <w:jc w:val="both"/>
              <w:rPr>
                <w:rFonts w:ascii="Arial" w:hAnsi="Arial" w:cs="Arial"/>
                <w:sz w:val="18"/>
                <w:szCs w:val="18"/>
              </w:rPr>
            </w:pPr>
            <w:r>
              <w:rPr>
                <w:rFonts w:ascii="Arial" w:hAnsi="Arial" w:cs="Arial"/>
                <w:sz w:val="18"/>
                <w:szCs w:val="18"/>
              </w:rPr>
              <w:t>Beta</w:t>
            </w:r>
          </w:p>
        </w:tc>
        <w:tc>
          <w:tcPr>
            <w:tcW w:w="0" w:type="auto"/>
            <w:vMerge w:val="continue"/>
            <w:tcBorders>
              <w:top w:val="single" w:color="000000" w:sz="16" w:space="0"/>
            </w:tcBorders>
            <w:shd w:val="clear" w:color="auto" w:fill="FFFFFF"/>
          </w:tcPr>
          <w:p>
            <w:pPr>
              <w:adjustRightInd w:val="0"/>
              <w:ind w:left="0" w:hanging="2"/>
              <w:jc w:val="both"/>
              <w:rPr>
                <w:rFonts w:ascii="Arial" w:hAnsi="Arial" w:cs="Arial"/>
                <w:sz w:val="18"/>
                <w:szCs w:val="18"/>
              </w:rPr>
            </w:pPr>
          </w:p>
        </w:tc>
        <w:tc>
          <w:tcPr>
            <w:tcW w:w="0" w:type="auto"/>
            <w:vMerge w:val="continue"/>
            <w:tcBorders>
              <w:top w:val="single" w:color="000000" w:sz="16" w:space="0"/>
              <w:right w:val="single" w:color="000000" w:sz="16" w:space="0"/>
            </w:tcBorders>
            <w:shd w:val="clear" w:color="auto" w:fill="FFFFFF"/>
          </w:tcPr>
          <w:p>
            <w:pPr>
              <w:adjustRightInd w:val="0"/>
              <w:ind w:left="0" w:hanging="2"/>
              <w:jc w:val="both"/>
              <w:rPr>
                <w:rFonts w:ascii="Arial" w:hAnsi="Arial" w:cs="Arial"/>
                <w:sz w:val="18"/>
                <w:szCs w:val="18"/>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restart"/>
            <w:tcBorders>
              <w:top w:val="single" w:color="000000" w:sz="16" w:space="0"/>
              <w:left w:val="single" w:color="000000" w:sz="16" w:space="0"/>
              <w:bottom w:val="single" w:color="000000" w:sz="16" w:space="0"/>
              <w:right w:val="nil"/>
            </w:tcBorders>
            <w:shd w:val="clear" w:color="auto" w:fill="FFFFFF"/>
            <w:vAlign w:val="center"/>
          </w:tcPr>
          <w:p>
            <w:pPr>
              <w:adjustRightInd w:val="0"/>
              <w:ind w:left="0" w:right="60" w:hanging="2"/>
              <w:rPr>
                <w:rFonts w:ascii="Arial" w:hAnsi="Arial" w:cs="Arial"/>
                <w:sz w:val="18"/>
                <w:szCs w:val="18"/>
              </w:rPr>
            </w:pPr>
            <w:r>
              <w:rPr>
                <w:rFonts w:ascii="Arial" w:hAnsi="Arial" w:cs="Arial"/>
                <w:sz w:val="18"/>
                <w:szCs w:val="18"/>
              </w:rPr>
              <w:t>1</w:t>
            </w:r>
          </w:p>
        </w:tc>
        <w:tc>
          <w:tcPr>
            <w:tcW w:w="2109" w:type="dxa"/>
            <w:tcBorders>
              <w:top w:val="single" w:color="000000" w:sz="16" w:space="0"/>
              <w:left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(Constant)</w:t>
            </w:r>
          </w:p>
        </w:tc>
        <w:tc>
          <w:tcPr>
            <w:tcW w:w="0" w:type="auto"/>
            <w:tcBorders>
              <w:top w:val="single" w:color="000000" w:sz="16" w:space="0"/>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3.343</w:t>
            </w:r>
          </w:p>
        </w:tc>
        <w:tc>
          <w:tcPr>
            <w:tcW w:w="0" w:type="auto"/>
            <w:tcBorders>
              <w:top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2.961</w:t>
            </w:r>
          </w:p>
        </w:tc>
        <w:tc>
          <w:tcPr>
            <w:tcW w:w="0" w:type="auto"/>
            <w:tcBorders>
              <w:top w:val="single" w:color="000000" w:sz="16" w:space="0"/>
              <w:bottom w:val="nil"/>
            </w:tcBorders>
            <w:shd w:val="clear" w:color="auto" w:fill="FFFFFF"/>
          </w:tcPr>
          <w:p>
            <w:pPr>
              <w:adjustRightInd w:val="0"/>
              <w:ind w:left="0" w:hanging="2"/>
              <w:jc w:val="both"/>
              <w:rPr>
                <w:rFonts w:ascii="Arial" w:hAnsi="Arial" w:cs="Arial"/>
                <w:sz w:val="18"/>
                <w:szCs w:val="18"/>
              </w:rPr>
            </w:pPr>
          </w:p>
        </w:tc>
        <w:tc>
          <w:tcPr>
            <w:tcW w:w="0" w:type="auto"/>
            <w:tcBorders>
              <w:top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1.986</w:t>
            </w:r>
          </w:p>
        </w:tc>
        <w:tc>
          <w:tcPr>
            <w:tcW w:w="0" w:type="auto"/>
            <w:tcBorders>
              <w:top w:val="single" w:color="000000" w:sz="16" w:space="0"/>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.262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2109" w:type="dxa"/>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Kepemimpinan</w:t>
            </w:r>
          </w:p>
        </w:tc>
        <w:tc>
          <w:tcPr>
            <w:tcW w:w="0" w:type="auto"/>
            <w:tcBorders>
              <w:top w:val="nil"/>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.317</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.114</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.196</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2.182</w:t>
            </w:r>
          </w:p>
        </w:tc>
        <w:tc>
          <w:tcPr>
            <w:tcW w:w="0" w:type="auto"/>
            <w:tcBorders>
              <w:top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.071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2109" w:type="dxa"/>
            <w:tcBorders>
              <w:top w:val="nil"/>
              <w:left w:val="nil"/>
              <w:bottom w:val="nil"/>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Budaya Kerja</w:t>
            </w:r>
          </w:p>
        </w:tc>
        <w:tc>
          <w:tcPr>
            <w:tcW w:w="0" w:type="auto"/>
            <w:tcBorders>
              <w:top w:val="nil"/>
              <w:left w:val="single" w:color="000000" w:sz="16" w:space="0"/>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.315</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.153</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.201</w:t>
            </w:r>
          </w:p>
        </w:tc>
        <w:tc>
          <w:tcPr>
            <w:tcW w:w="0" w:type="auto"/>
            <w:tcBorders>
              <w:top w:val="nil"/>
              <w:bottom w:val="nil"/>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2.062</w:t>
            </w:r>
          </w:p>
        </w:tc>
        <w:tc>
          <w:tcPr>
            <w:tcW w:w="0" w:type="auto"/>
            <w:tcBorders>
              <w:top w:val="nil"/>
              <w:bottom w:val="nil"/>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.042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cantSplit/>
        </w:trPr>
        <w:tc>
          <w:tcPr>
            <w:tcW w:w="0" w:type="auto"/>
            <w:vMerge w:val="continue"/>
            <w:tcBorders>
              <w:top w:val="single" w:color="000000" w:sz="16" w:space="0"/>
              <w:left w:val="single" w:color="000000" w:sz="16" w:space="0"/>
              <w:bottom w:val="single" w:color="000000" w:sz="16" w:space="0"/>
              <w:right w:val="nil"/>
            </w:tcBorders>
            <w:shd w:val="clear" w:color="auto" w:fill="FFFFFF"/>
            <w:vAlign w:val="center"/>
          </w:tcPr>
          <w:p>
            <w:pPr>
              <w:adjustRightInd w:val="0"/>
              <w:ind w:left="0" w:hanging="2"/>
              <w:jc w:val="both"/>
              <w:rPr>
                <w:rFonts w:ascii="Arial" w:hAnsi="Arial" w:cs="Arial"/>
                <w:sz w:val="18"/>
                <w:szCs w:val="18"/>
              </w:rPr>
            </w:pPr>
          </w:p>
        </w:tc>
        <w:tc>
          <w:tcPr>
            <w:tcW w:w="2109" w:type="dxa"/>
            <w:tcBorders>
              <w:top w:val="nil"/>
              <w:left w:val="nil"/>
              <w:bottom w:val="single" w:color="000000" w:sz="16" w:space="0"/>
              <w:right w:val="single" w:color="000000" w:sz="16" w:space="0"/>
            </w:tcBorders>
            <w:shd w:val="clear" w:color="auto" w:fill="FFFFFF"/>
          </w:tcPr>
          <w:p>
            <w:pPr>
              <w:adjustRightInd w:val="0"/>
              <w:ind w:left="0" w:right="60" w:hanging="2"/>
              <w:rPr>
                <w:rFonts w:ascii="Arial" w:hAnsi="Arial" w:cs="Arial"/>
                <w:color w:val="000000"/>
                <w:sz w:val="18"/>
                <w:szCs w:val="18"/>
              </w:rPr>
            </w:pPr>
            <w:r>
              <w:rPr>
                <w:rFonts w:ascii="Arial" w:hAnsi="Arial" w:cs="Arial"/>
                <w:color w:val="000000"/>
                <w:sz w:val="18"/>
                <w:szCs w:val="18"/>
              </w:rPr>
              <w:t>Lingkungan Kerja</w:t>
            </w:r>
          </w:p>
        </w:tc>
        <w:tc>
          <w:tcPr>
            <w:tcW w:w="0" w:type="auto"/>
            <w:tcBorders>
              <w:top w:val="nil"/>
              <w:left w:val="single" w:color="000000" w:sz="16" w:space="0"/>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.313</w:t>
            </w:r>
          </w:p>
        </w:tc>
        <w:tc>
          <w:tcPr>
            <w:tcW w:w="0" w:type="auto"/>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.093</w:t>
            </w:r>
          </w:p>
        </w:tc>
        <w:tc>
          <w:tcPr>
            <w:tcW w:w="0" w:type="auto"/>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.329</w:t>
            </w:r>
          </w:p>
        </w:tc>
        <w:tc>
          <w:tcPr>
            <w:tcW w:w="0" w:type="auto"/>
            <w:tcBorders>
              <w:top w:val="nil"/>
              <w:bottom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3.371</w:t>
            </w:r>
          </w:p>
        </w:tc>
        <w:tc>
          <w:tcPr>
            <w:tcW w:w="0" w:type="auto"/>
            <w:tcBorders>
              <w:top w:val="nil"/>
              <w:bottom w:val="single" w:color="000000" w:sz="16" w:space="0"/>
              <w:right w:val="single" w:color="000000" w:sz="16" w:space="0"/>
            </w:tcBorders>
            <w:shd w:val="clear" w:color="auto" w:fill="FFFFFF"/>
            <w:vAlign w:val="center"/>
          </w:tcPr>
          <w:p>
            <w:pPr>
              <w:adjustRightInd w:val="0"/>
              <w:ind w:left="0" w:right="60" w:hanging="2"/>
              <w:jc w:val="both"/>
              <w:rPr>
                <w:rFonts w:ascii="Arial" w:hAnsi="Arial" w:cs="Arial"/>
                <w:sz w:val="18"/>
                <w:szCs w:val="18"/>
              </w:rPr>
            </w:pPr>
            <w:r>
              <w:rPr>
                <w:rFonts w:ascii="Arial" w:hAnsi="Arial" w:cs="Arial"/>
                <w:sz w:val="18"/>
                <w:szCs w:val="18"/>
              </w:rPr>
              <w:t>.001</w:t>
            </w:r>
          </w:p>
        </w:tc>
      </w:tr>
    </w:tbl>
    <w:p>
      <w:pPr>
        <w:pStyle w:val="56"/>
        <w:ind w:hanging="2"/>
        <w:jc w:val="both"/>
        <w:rPr>
          <w:rFonts w:ascii="Times New Roman" w:hAnsi="Times New Roman" w:cs="Times New Roman"/>
          <w:sz w:val="24"/>
          <w:szCs w:val="24"/>
          <w:lang w:val="id-ID"/>
        </w:rPr>
      </w:pPr>
      <w:r>
        <w:rPr>
          <w:rFonts w:ascii="Times New Roman" w:hAnsi="Times New Roman" w:cs="Times New Roman"/>
          <w:sz w:val="24"/>
          <w:szCs w:val="24"/>
          <w:lang w:val="id-ID"/>
        </w:rPr>
        <w:t>Sumber: data primer diolah 2022</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r>
        <w:t>Berdasarkan</w:t>
      </w:r>
      <w:r>
        <w:rPr>
          <w:color w:val="FFFFFF"/>
        </w:rPr>
        <w:t>i</w:t>
      </w:r>
      <w:r>
        <w:t>hasil</w:t>
      </w:r>
      <w:r>
        <w:rPr>
          <w:color w:val="FFFFFF"/>
        </w:rPr>
        <w:t>i</w:t>
      </w:r>
      <w:r>
        <w:t>output</w:t>
      </w:r>
      <w:r>
        <w:rPr>
          <w:color w:val="FFFFFF"/>
        </w:rPr>
        <w:t>i</w:t>
      </w:r>
      <w:r>
        <w:t>diatas</w:t>
      </w:r>
      <w:r>
        <w:rPr>
          <w:color w:val="FFFFFF"/>
        </w:rPr>
        <w:t>i</w:t>
      </w:r>
      <w:r>
        <w:t>maka</w:t>
      </w:r>
      <w:r>
        <w:rPr>
          <w:color w:val="FFFFFF"/>
        </w:rPr>
        <w:t>i</w:t>
      </w:r>
      <w:r>
        <w:t>menghasilkan</w:t>
      </w:r>
      <w:r>
        <w:rPr>
          <w:color w:val="FFFFFF"/>
        </w:rPr>
        <w:t>i</w:t>
      </w:r>
      <w:r>
        <w:t>uji t</w:t>
      </w:r>
      <w:r>
        <w:rPr>
          <w:color w:val="FFFFFF"/>
        </w:rPr>
        <w:t>i</w:t>
      </w:r>
      <w:r>
        <w:t>sebesar</w:t>
      </w:r>
      <w:r>
        <w:rPr>
          <w:color w:val="FFFFFF"/>
        </w:rPr>
        <w:t>i</w:t>
      </w:r>
      <w:r>
        <w:t>1.986.</w:t>
      </w:r>
    </w:p>
    <w:p>
      <w:pPr>
        <w:pStyle w:val="56"/>
        <w:ind w:hanging="2"/>
        <w:jc w:val="both"/>
        <w:rPr>
          <w:rFonts w:ascii="Times New Roman" w:hAnsi="Times New Roman" w:cs="Times New Roman"/>
          <w:sz w:val="24"/>
          <w:szCs w:val="24"/>
          <w:lang w:val="id-ID"/>
        </w:rPr>
      </w:pPr>
      <w:r>
        <w:rPr>
          <w:rFonts w:ascii="Times New Roman" w:hAnsi="Times New Roman" w:cs="Times New Roman"/>
          <w:sz w:val="24"/>
          <w:szCs w:val="24"/>
          <w:lang w:val="id-ID"/>
        </w:rPr>
        <w:t>Uji</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t</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digunakan untuk mengetahui pengaruh secara individual atau parsial dari variabel</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independen</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terhadap</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variabel</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dependen. Adapun hasilnya adalah sebagai berikut:</w:t>
      </w:r>
    </w:p>
    <w:p>
      <w:pPr>
        <w:pStyle w:val="56"/>
        <w:numPr>
          <w:ilvl w:val="0"/>
          <w:numId w:val="1"/>
        </w:numPr>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Kepemimpinan</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Rumusan hipotesis yang digunakan :</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Ho : Kinerja tidak meningkat secara signifikan oleh variabel kepemimpinan.</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Hi: Variabel kepemimpinan secara signifikan meningkatkan kinerja. Berdasarkan hasil pengujian</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pada</w:t>
      </w:r>
      <w:r>
        <w:rPr>
          <w:rFonts w:ascii="Times New Roman" w:hAnsi="Times New Roman" w:cs="Times New Roman"/>
          <w:color w:val="FFFFFF"/>
          <w:sz w:val="24"/>
          <w:szCs w:val="24"/>
          <w:lang w:val="id-ID"/>
        </w:rPr>
        <w:t>i</w:t>
      </w:r>
      <w:r>
        <w:rPr>
          <w:rFonts w:ascii="Times New Roman" w:hAnsi="Times New Roman" w:cs="Times New Roman"/>
          <w:sz w:val="24"/>
          <w:szCs w:val="24"/>
          <w:lang w:val="sv-SE"/>
        </w:rPr>
        <w:t xml:space="preserve">Tabel </w:t>
      </w:r>
      <w:r>
        <w:rPr>
          <w:rFonts w:ascii="Times New Roman" w:hAnsi="Times New Roman" w:cs="Times New Roman"/>
          <w:sz w:val="24"/>
          <w:szCs w:val="24"/>
          <w:lang w:val="id-ID"/>
        </w:rPr>
        <w:t>4.11</w:t>
      </w:r>
      <w:r>
        <w:rPr>
          <w:rFonts w:ascii="Times New Roman" w:hAnsi="Times New Roman" w:cs="Times New Roman"/>
          <w:color w:val="FFFFFF"/>
          <w:sz w:val="24"/>
          <w:szCs w:val="24"/>
          <w:vertAlign w:val="subscript"/>
          <w:lang w:val="id-ID"/>
        </w:rPr>
        <w:t>i</w:t>
      </w:r>
      <w:r>
        <w:rPr>
          <w:rFonts w:ascii="Times New Roman" w:hAnsi="Times New Roman" w:cs="Times New Roman"/>
          <w:sz w:val="24"/>
          <w:szCs w:val="24"/>
          <w:lang w:val="id-ID"/>
        </w:rPr>
        <w:t>diketahui bahwa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nilai t</w:t>
      </w:r>
      <w:r>
        <w:rPr>
          <w:rFonts w:ascii="Times New Roman" w:hAnsi="Times New Roman" w:cs="Times New Roman"/>
          <w:sz w:val="24"/>
          <w:szCs w:val="24"/>
          <w:vertAlign w:val="subscript"/>
          <w:lang w:val="id-ID"/>
        </w:rPr>
        <w:t xml:space="preserve">hitung </w:t>
      </w:r>
      <w:r>
        <w:rPr>
          <w:rFonts w:ascii="Times New Roman" w:hAnsi="Times New Roman" w:cs="Times New Roman"/>
          <w:sz w:val="24"/>
          <w:szCs w:val="24"/>
          <w:lang w:val="id-ID"/>
        </w:rPr>
        <w:t>&gt; t</w:t>
      </w:r>
      <w:r>
        <w:rPr>
          <w:rFonts w:ascii="Times New Roman" w:hAnsi="Times New Roman" w:cs="Times New Roman"/>
          <w:sz w:val="24"/>
          <w:szCs w:val="24"/>
          <w:vertAlign w:val="subscript"/>
          <w:lang w:val="id-ID"/>
        </w:rPr>
        <w:t xml:space="preserve">tabel </w:t>
      </w:r>
      <w:r>
        <w:rPr>
          <w:rFonts w:ascii="Times New Roman" w:hAnsi="Times New Roman" w:cs="Times New Roman"/>
          <w:sz w:val="24"/>
          <w:szCs w:val="24"/>
          <w:lang w:val="id-ID"/>
        </w:rPr>
        <w:t>(2.182 &gt; 1,986) dan nilai probabilitas = 0,071 &gt; 0,05 (taraf signifikansi 5%), maka untuk (H</w:t>
      </w:r>
      <w:r>
        <w:rPr>
          <w:rFonts w:ascii="Times New Roman" w:hAnsi="Times New Roman" w:cs="Times New Roman"/>
          <w:sz w:val="24"/>
          <w:szCs w:val="24"/>
          <w:vertAlign w:val="subscript"/>
          <w:lang w:val="id-ID"/>
        </w:rPr>
        <w:t>0</w:t>
      </w:r>
      <w:r>
        <w:rPr>
          <w:rFonts w:ascii="Times New Roman" w:hAnsi="Times New Roman" w:cs="Times New Roman"/>
          <w:b/>
          <w:sz w:val="24"/>
          <w:szCs w:val="24"/>
          <w:lang w:val="id-ID"/>
        </w:rPr>
        <w:t xml:space="preserve">) </w:t>
      </w:r>
      <w:r>
        <w:rPr>
          <w:rFonts w:ascii="Times New Roman" w:hAnsi="Times New Roman" w:cs="Times New Roman"/>
          <w:sz w:val="24"/>
          <w:szCs w:val="24"/>
          <w:lang w:val="id-ID"/>
        </w:rPr>
        <w:t>diterima, artinya tidak berpengaruh</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secara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parsial pada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kinerja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karyawan.</w:t>
      </w:r>
    </w:p>
    <w:p>
      <w:pPr>
        <w:pStyle w:val="56"/>
        <w:numPr>
          <w:ilvl w:val="0"/>
          <w:numId w:val="1"/>
        </w:numPr>
        <w:ind w:left="426" w:hanging="426"/>
        <w:jc w:val="both"/>
        <w:rPr>
          <w:rFonts w:ascii="Times New Roman" w:hAnsi="Times New Roman" w:cs="Times New Roman"/>
          <w:sz w:val="24"/>
          <w:szCs w:val="24"/>
        </w:rPr>
      </w:pPr>
      <w:r>
        <w:rPr>
          <w:rFonts w:ascii="Times New Roman" w:hAnsi="Times New Roman" w:cs="Times New Roman"/>
          <w:sz w:val="24"/>
          <w:szCs w:val="24"/>
          <w:lang w:val="id-ID"/>
        </w:rPr>
        <w:t>Budaya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Kerja</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Rumusan hipotesis yang digunakan :</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Ho : variabel Kinerja tidak dipengaruhi secara signifikan oleh budaya kerja.</w:t>
      </w:r>
    </w:p>
    <w:p>
      <w:pPr>
        <w:pStyle w:val="56"/>
        <w:ind w:left="426" w:hanging="2"/>
        <w:jc w:val="both"/>
        <w:rPr>
          <w:rFonts w:ascii="Times New Roman" w:hAnsi="Times New Roman" w:cs="Times New Roman"/>
          <w:sz w:val="24"/>
          <w:szCs w:val="24"/>
        </w:rPr>
      </w:pPr>
      <w:r>
        <w:rPr>
          <w:rFonts w:ascii="Times New Roman" w:hAnsi="Times New Roman" w:cs="Times New Roman"/>
          <w:sz w:val="24"/>
          <w:szCs w:val="24"/>
          <w:lang w:val="id-ID"/>
        </w:rPr>
        <w:t>Hi: Kinerja yang bervariasi secara signifikan dipengaruhi oleh budaya kerja.</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rPr>
        <w:t xml:space="preserve">Berdasarkan hasil pengujian pada </w:t>
      </w:r>
      <w:r>
        <w:rPr>
          <w:rFonts w:ascii="Times New Roman" w:hAnsi="Times New Roman" w:cs="Times New Roman"/>
          <w:sz w:val="24"/>
          <w:szCs w:val="24"/>
          <w:lang w:val="sv-SE"/>
        </w:rPr>
        <w:t xml:space="preserve">Tabel </w:t>
      </w:r>
      <w:r>
        <w:rPr>
          <w:rFonts w:ascii="Times New Roman" w:hAnsi="Times New Roman" w:cs="Times New Roman"/>
          <w:sz w:val="24"/>
          <w:szCs w:val="24"/>
          <w:lang w:val="id-ID"/>
        </w:rPr>
        <w:t>4.11</w:t>
      </w:r>
      <w:r>
        <w:rPr>
          <w:rFonts w:ascii="Times New Roman" w:hAnsi="Times New Roman" w:cs="Times New Roman"/>
          <w:sz w:val="24"/>
          <w:szCs w:val="24"/>
          <w:vertAlign w:val="subscript"/>
        </w:rPr>
        <w:t xml:space="preserve"> </w:t>
      </w:r>
      <w:r>
        <w:rPr>
          <w:rFonts w:ascii="Times New Roman" w:hAnsi="Times New Roman" w:cs="Times New Roman"/>
          <w:sz w:val="24"/>
          <w:szCs w:val="24"/>
        </w:rPr>
        <w:t>diketahui bahwa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w:t>
      </w:r>
      <w:r>
        <w:rPr>
          <w:rFonts w:ascii="Times New Roman" w:hAnsi="Times New Roman" w:cs="Times New Roman"/>
          <w:sz w:val="24"/>
          <w:szCs w:val="24"/>
          <w:lang w:val="id-ID"/>
        </w:rPr>
        <w:t>2.062</w:t>
      </w:r>
      <w:r>
        <w:rPr>
          <w:rFonts w:ascii="Times New Roman" w:hAnsi="Times New Roman" w:cs="Times New Roman"/>
          <w:sz w:val="24"/>
          <w:szCs w:val="24"/>
        </w:rPr>
        <w:t xml:space="preserve"> &gt; 1,98</w:t>
      </w:r>
      <w:r>
        <w:rPr>
          <w:rFonts w:ascii="Times New Roman" w:hAnsi="Times New Roman" w:cs="Times New Roman"/>
          <w:sz w:val="24"/>
          <w:szCs w:val="24"/>
          <w:lang w:val="id-ID"/>
        </w:rPr>
        <w:t>6</w:t>
      </w:r>
      <w:r>
        <w:rPr>
          <w:rFonts w:ascii="Times New Roman" w:hAnsi="Times New Roman" w:cs="Times New Roman"/>
          <w:sz w:val="24"/>
          <w:szCs w:val="24"/>
        </w:rPr>
        <w:t>) dan nilai probabilitas =</w:t>
      </w:r>
      <w:r>
        <w:rPr>
          <w:rFonts w:ascii="Times New Roman" w:hAnsi="Times New Roman" w:cs="Times New Roman"/>
          <w:sz w:val="24"/>
          <w:szCs w:val="24"/>
          <w:lang w:val="id-ID"/>
        </w:rPr>
        <w:t xml:space="preserve"> 0.042</w:t>
      </w:r>
      <w:r>
        <w:rPr>
          <w:rFonts w:ascii="Times New Roman" w:hAnsi="Times New Roman" w:cs="Times New Roman"/>
          <w:sz w:val="24"/>
          <w:szCs w:val="24"/>
        </w:rPr>
        <w:t xml:space="preserve"> </w:t>
      </w:r>
      <w:r>
        <w:rPr>
          <w:rFonts w:ascii="Times New Roman" w:hAnsi="Times New Roman" w:cs="Times New Roman"/>
          <w:sz w:val="24"/>
          <w:szCs w:val="24"/>
          <w:lang w:val="id-ID"/>
        </w:rPr>
        <w:t>&gt;</w:t>
      </w:r>
      <w:r>
        <w:rPr>
          <w:rFonts w:ascii="Times New Roman" w:hAnsi="Times New Roman" w:cs="Times New Roman"/>
          <w:sz w:val="24"/>
          <w:szCs w:val="24"/>
        </w:rPr>
        <w:t xml:space="preserve"> 0,05 (taraf</w:t>
      </w:r>
      <w:r>
        <w:rPr>
          <w:rFonts w:ascii="Times New Roman" w:hAnsi="Times New Roman" w:cs="Times New Roman"/>
          <w:color w:val="FFFFFF"/>
          <w:sz w:val="24"/>
          <w:szCs w:val="24"/>
          <w:lang w:val="id-ID"/>
        </w:rPr>
        <w:t>i</w:t>
      </w:r>
      <w:r>
        <w:rPr>
          <w:rFonts w:ascii="Times New Roman" w:hAnsi="Times New Roman" w:cs="Times New Roman"/>
          <w:sz w:val="24"/>
          <w:szCs w:val="24"/>
        </w:rPr>
        <w:t>signifikansi</w:t>
      </w:r>
      <w:r>
        <w:rPr>
          <w:rFonts w:ascii="Times New Roman" w:hAnsi="Times New Roman" w:cs="Times New Roman"/>
          <w:color w:val="FFFFFF"/>
          <w:sz w:val="24"/>
          <w:szCs w:val="24"/>
          <w:lang w:val="id-ID"/>
        </w:rPr>
        <w:t>i</w:t>
      </w:r>
      <w:r>
        <w:rPr>
          <w:rFonts w:ascii="Times New Roman" w:hAnsi="Times New Roman" w:cs="Times New Roman"/>
          <w:sz w:val="24"/>
          <w:szCs w:val="24"/>
        </w:rPr>
        <w:t>5%), maka untuk</w:t>
      </w:r>
      <w:r>
        <w:rPr>
          <w:rFonts w:ascii="Times New Roman" w:hAnsi="Times New Roman" w:cs="Times New Roman"/>
          <w:color w:val="FFFFFF"/>
          <w:sz w:val="24"/>
          <w:szCs w:val="24"/>
          <w:lang w:val="id-ID"/>
        </w:rPr>
        <w:t>i</w:t>
      </w:r>
      <w:r>
        <w:rPr>
          <w:rFonts w:ascii="Times New Roman" w:hAnsi="Times New Roman" w:cs="Times New Roman"/>
          <w:sz w:val="24"/>
          <w:szCs w:val="24"/>
        </w:rPr>
        <w:t>H</w:t>
      </w:r>
      <w:r>
        <w:rPr>
          <w:rFonts w:ascii="Times New Roman" w:hAnsi="Times New Roman" w:cs="Times New Roman"/>
          <w:sz w:val="24"/>
          <w:szCs w:val="24"/>
          <w:vertAlign w:val="subscript"/>
          <w:lang w:val="id-ID"/>
        </w:rPr>
        <w:t>0</w:t>
      </w:r>
      <w:r>
        <w:rPr>
          <w:rFonts w:ascii="Times New Roman" w:hAnsi="Times New Roman" w:cs="Times New Roman"/>
          <w:b/>
          <w:sz w:val="24"/>
          <w:szCs w:val="24"/>
        </w:rPr>
        <w:t xml:space="preserve"> </w:t>
      </w:r>
      <w:r>
        <w:rPr>
          <w:rFonts w:ascii="Times New Roman" w:hAnsi="Times New Roman" w:cs="Times New Roman"/>
          <w:sz w:val="24"/>
          <w:szCs w:val="24"/>
        </w:rPr>
        <w:t>dit</w:t>
      </w:r>
      <w:r>
        <w:rPr>
          <w:rFonts w:ascii="Times New Roman" w:hAnsi="Times New Roman" w:cs="Times New Roman"/>
          <w:sz w:val="24"/>
          <w:szCs w:val="24"/>
          <w:lang w:val="id-ID"/>
        </w:rPr>
        <w:t>olak</w:t>
      </w:r>
      <w:r>
        <w:rPr>
          <w:rFonts w:ascii="Times New Roman" w:hAnsi="Times New Roman" w:cs="Times New Roman"/>
          <w:sz w:val="24"/>
          <w:szCs w:val="24"/>
        </w:rPr>
        <w:t>,</w:t>
      </w:r>
      <w:r>
        <w:rPr>
          <w:rFonts w:ascii="Times New Roman" w:hAnsi="Times New Roman" w:cs="Times New Roman"/>
          <w:color w:val="FFFFFF"/>
          <w:sz w:val="24"/>
          <w:szCs w:val="24"/>
          <w:lang w:val="id-ID"/>
        </w:rPr>
        <w:t>i</w:t>
      </w:r>
      <w:r>
        <w:rPr>
          <w:rFonts w:ascii="Times New Roman" w:hAnsi="Times New Roman" w:cs="Times New Roman"/>
          <w:sz w:val="24"/>
          <w:szCs w:val="24"/>
        </w:rPr>
        <w:t>artinya</w:t>
      </w:r>
      <w:r>
        <w:rPr>
          <w:rFonts w:ascii="Times New Roman" w:hAnsi="Times New Roman" w:cs="Times New Roman"/>
          <w:color w:val="FFFFFF"/>
          <w:sz w:val="24"/>
          <w:szCs w:val="24"/>
          <w:lang w:val="id-ID"/>
        </w:rPr>
        <w:t>i</w:t>
      </w:r>
      <w:r>
        <w:rPr>
          <w:rFonts w:ascii="Times New Roman" w:hAnsi="Times New Roman" w:cs="Times New Roman"/>
          <w:sz w:val="24"/>
          <w:szCs w:val="24"/>
        </w:rPr>
        <w:t>berpengaruh</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secara parsial</w:t>
      </w:r>
      <w:r>
        <w:rPr>
          <w:rFonts w:ascii="Times New Roman" w:hAnsi="Times New Roman" w:cs="Times New Roman"/>
          <w:sz w:val="24"/>
          <w:szCs w:val="24"/>
        </w:rPr>
        <w:t xml:space="preserve"> </w:t>
      </w:r>
      <w:r>
        <w:rPr>
          <w:rFonts w:ascii="Times New Roman" w:hAnsi="Times New Roman" w:cs="Times New Roman"/>
          <w:sz w:val="24"/>
          <w:szCs w:val="24"/>
          <w:lang w:val="id-ID"/>
        </w:rPr>
        <w:t>pada kinerja karyawan</w:t>
      </w:r>
      <w:r>
        <w:rPr>
          <w:rFonts w:ascii="Times New Roman" w:hAnsi="Times New Roman" w:cs="Times New Roman"/>
          <w:sz w:val="24"/>
          <w:szCs w:val="24"/>
        </w:rPr>
        <w:t>.</w:t>
      </w:r>
    </w:p>
    <w:p>
      <w:pPr>
        <w:pStyle w:val="56"/>
        <w:numPr>
          <w:ilvl w:val="0"/>
          <w:numId w:val="1"/>
        </w:numPr>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Kerja </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Rumusan hipotesis yang digunakan :</w:t>
      </w:r>
    </w:p>
    <w:p>
      <w:pPr>
        <w:pStyle w:val="56"/>
        <w:ind w:left="426" w:hanging="2"/>
        <w:jc w:val="both"/>
        <w:rPr>
          <w:rFonts w:ascii="Times New Roman" w:hAnsi="Times New Roman" w:cs="Times New Roman"/>
          <w:sz w:val="24"/>
          <w:szCs w:val="24"/>
          <w:lang w:val="id-ID"/>
        </w:rPr>
      </w:pPr>
      <w:r>
        <w:rPr>
          <w:rFonts w:ascii="Times New Roman" w:hAnsi="Times New Roman" w:cs="Times New Roman"/>
          <w:sz w:val="24"/>
          <w:szCs w:val="24"/>
          <w:lang w:val="id-ID"/>
        </w:rPr>
        <w:t>Ho : Tidak ada korelasi yang terlihat antara variabel lingkungan kerja dan kinerja.</w:t>
      </w:r>
    </w:p>
    <w:p>
      <w:pPr>
        <w:pStyle w:val="56"/>
        <w:ind w:left="426" w:hanging="2"/>
        <w:jc w:val="both"/>
        <w:rPr>
          <w:lang w:val="id-ID"/>
        </w:rPr>
      </w:pPr>
      <w:r>
        <w:rPr>
          <w:rFonts w:ascii="Times New Roman" w:hAnsi="Times New Roman" w:cs="Times New Roman"/>
          <w:sz w:val="24"/>
          <w:szCs w:val="24"/>
          <w:lang w:val="id-ID"/>
        </w:rPr>
        <w:t>Hi: Faktor lingkungan kerja meningkatkan kinerja secara signifikan. Berdasarkan hasil</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pengujian</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pada Tabel 4.11 diketahui</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bahwa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H0 ditolak karena lingkungan kerja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berpengaruh</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secara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parsial</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terhadap</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kinerja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pegawai</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karena</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nilai</w:t>
      </w:r>
      <w:r>
        <w:rPr>
          <w:rFonts w:ascii="Times New Roman" w:hAnsi="Times New Roman" w:cs="Times New Roman"/>
          <w:color w:val="FFFFFF"/>
          <w:sz w:val="24"/>
          <w:szCs w:val="24"/>
          <w:lang w:val="id-ID"/>
        </w:rPr>
        <w:t>i</w:t>
      </w:r>
      <w:r>
        <w:rPr>
          <w:rFonts w:ascii="Times New Roman" w:hAnsi="Times New Roman" w:cs="Times New Roman"/>
          <w:sz w:val="24"/>
          <w:szCs w:val="24"/>
          <w:lang w:val="id-ID"/>
        </w:rPr>
        <w:t>dari probabilitas = 0,001 0,05 (batas signifikansi 5%) dan thitung &gt; ttabel (3,371 &gt; 1,986 )</w:t>
      </w:r>
      <w:r>
        <w:rPr>
          <w:lang w:val="id-ID"/>
        </w:rPr>
        <w:t>.</w:t>
      </w:r>
    </w:p>
    <w:p>
      <w:pPr>
        <w:pStyle w:val="11"/>
        <w:shd w:val="clear" w:color="auto" w:fill="FFFFFF"/>
        <w:ind w:left="0" w:right="-71" w:hanging="2"/>
        <w:jc w:val="both"/>
        <w:rPr>
          <w:b/>
        </w:rPr>
      </w:pPr>
      <w:r>
        <w:rPr>
          <w:b/>
        </w:rPr>
        <w:t>Uji Adjusted R Square</w:t>
      </w:r>
    </w:p>
    <w:p>
      <w:pPr>
        <w:pStyle w:val="56"/>
        <w:ind w:hanging="2"/>
        <w:jc w:val="both"/>
        <w:rPr>
          <w:rFonts w:eastAsia="SimSun" w:asciiTheme="majorBidi" w:hAnsiTheme="majorBidi" w:cstheme="majorBidi"/>
          <w:sz w:val="24"/>
          <w:szCs w:val="24"/>
        </w:rPr>
      </w:pPr>
      <w:r>
        <w:rPr>
          <w:rFonts w:asciiTheme="majorBidi" w:hAnsiTheme="majorBidi" w:cstheme="majorBidi"/>
          <w:sz w:val="24"/>
          <w:szCs w:val="24"/>
          <w:lang w:val="sv-SE"/>
        </w:rPr>
        <w:t>Hasil analisis data</w:t>
      </w:r>
      <w:r>
        <w:rPr>
          <w:rFonts w:asciiTheme="majorBidi" w:hAnsiTheme="majorBidi" w:cstheme="majorBidi"/>
          <w:color w:val="FFFFFF"/>
          <w:sz w:val="24"/>
          <w:szCs w:val="24"/>
        </w:rPr>
        <w:t>i</w:t>
      </w:r>
      <w:r>
        <w:rPr>
          <w:rFonts w:asciiTheme="majorBidi" w:hAnsiTheme="majorBidi" w:cstheme="majorBidi"/>
          <w:sz w:val="24"/>
          <w:szCs w:val="24"/>
          <w:lang w:val="sv-SE"/>
        </w:rPr>
        <w:t>diperoleh Adjusted R</w:t>
      </w:r>
      <w:r>
        <w:rPr>
          <w:rFonts w:asciiTheme="majorBidi" w:hAnsiTheme="majorBidi" w:cstheme="majorBidi"/>
          <w:color w:val="FFFFFF"/>
          <w:sz w:val="24"/>
          <w:szCs w:val="24"/>
        </w:rPr>
        <w:t>i</w:t>
      </w:r>
      <w:r>
        <w:rPr>
          <w:rFonts w:asciiTheme="majorBidi" w:hAnsiTheme="majorBidi" w:cstheme="majorBidi"/>
          <w:i/>
          <w:sz w:val="24"/>
          <w:szCs w:val="24"/>
          <w:lang w:val="sv-SE"/>
        </w:rPr>
        <w:t>Square</w:t>
      </w:r>
      <w:r>
        <w:rPr>
          <w:rFonts w:asciiTheme="majorBidi" w:hAnsiTheme="majorBidi" w:cstheme="majorBidi"/>
          <w:color w:val="FFFFFF"/>
          <w:sz w:val="24"/>
          <w:szCs w:val="24"/>
        </w:rPr>
        <w:t>i</w:t>
      </w:r>
      <w:r>
        <w:rPr>
          <w:rFonts w:asciiTheme="majorBidi" w:hAnsiTheme="majorBidi" w:cstheme="majorBidi"/>
          <w:sz w:val="24"/>
          <w:szCs w:val="24"/>
          <w:lang w:val="sv-SE"/>
        </w:rPr>
        <w:t xml:space="preserve">sebesar </w:t>
      </w:r>
      <w:r>
        <w:rPr>
          <w:rFonts w:asciiTheme="majorBidi" w:hAnsiTheme="majorBidi" w:cstheme="majorBidi"/>
          <w:sz w:val="24"/>
          <w:szCs w:val="24"/>
        </w:rPr>
        <w:t>0,548</w:t>
      </w:r>
      <w:r>
        <w:rPr>
          <w:rFonts w:asciiTheme="majorBidi" w:hAnsiTheme="majorBidi" w:cstheme="majorBidi"/>
          <w:sz w:val="24"/>
          <w:szCs w:val="24"/>
          <w:lang w:val="sv-SE"/>
        </w:rPr>
        <w:t>, hal ini menunjukkan bahwa</w:t>
      </w:r>
      <w:r>
        <w:rPr>
          <w:rFonts w:asciiTheme="majorBidi" w:hAnsiTheme="majorBidi" w:cstheme="majorBidi"/>
          <w:color w:val="FFFFFF"/>
          <w:sz w:val="24"/>
          <w:szCs w:val="24"/>
        </w:rPr>
        <w:t>i</w:t>
      </w:r>
      <w:r>
        <w:rPr>
          <w:rFonts w:asciiTheme="majorBidi" w:hAnsiTheme="majorBidi" w:cstheme="majorBidi"/>
          <w:sz w:val="24"/>
          <w:szCs w:val="24"/>
        </w:rPr>
        <w:t xml:space="preserve">variable </w:t>
      </w:r>
      <w:r>
        <w:rPr>
          <w:rFonts w:asciiTheme="majorBidi" w:hAnsiTheme="majorBidi" w:cstheme="majorBidi"/>
          <w:sz w:val="24"/>
          <w:szCs w:val="24"/>
          <w:lang w:val="id-ID"/>
        </w:rPr>
        <w:t>kepemimpinan</w:t>
      </w:r>
      <w:r>
        <w:rPr>
          <w:rFonts w:asciiTheme="majorBidi" w:hAnsiTheme="majorBidi" w:cstheme="majorBidi"/>
          <w:sz w:val="24"/>
          <w:szCs w:val="24"/>
        </w:rPr>
        <w:t>, budaya kerja</w:t>
      </w:r>
      <w:r>
        <w:rPr>
          <w:rFonts w:asciiTheme="majorBidi" w:hAnsiTheme="majorBidi" w:cstheme="majorBidi"/>
          <w:color w:val="FFFFFF"/>
          <w:sz w:val="24"/>
          <w:szCs w:val="24"/>
        </w:rPr>
        <w:t>i</w:t>
      </w:r>
      <w:r>
        <w:rPr>
          <w:rFonts w:asciiTheme="majorBidi" w:hAnsiTheme="majorBidi" w:cstheme="majorBidi"/>
          <w:sz w:val="24"/>
          <w:szCs w:val="24"/>
        </w:rPr>
        <w:t xml:space="preserve">dan lingkungan kerja </w:t>
      </w:r>
      <w:r>
        <w:rPr>
          <w:rFonts w:asciiTheme="majorBidi" w:hAnsiTheme="majorBidi" w:cstheme="majorBidi"/>
          <w:sz w:val="24"/>
          <w:szCs w:val="24"/>
          <w:lang w:val="sv-SE"/>
        </w:rPr>
        <w:t>mempunyai kontribusi (dapat</w:t>
      </w:r>
      <w:r>
        <w:rPr>
          <w:rFonts w:asciiTheme="majorBidi" w:hAnsiTheme="majorBidi" w:cstheme="majorBidi"/>
          <w:color w:val="FFFFFF"/>
          <w:sz w:val="24"/>
          <w:szCs w:val="24"/>
        </w:rPr>
        <w:t>i</w:t>
      </w:r>
      <w:r>
        <w:rPr>
          <w:rFonts w:asciiTheme="majorBidi" w:hAnsiTheme="majorBidi" w:cstheme="majorBidi"/>
          <w:sz w:val="24"/>
          <w:szCs w:val="24"/>
          <w:lang w:val="sv-SE"/>
        </w:rPr>
        <w:t xml:space="preserve">menjelaskan) sebesar </w:t>
      </w:r>
      <w:r>
        <w:rPr>
          <w:rFonts w:asciiTheme="majorBidi" w:hAnsiTheme="majorBidi" w:cstheme="majorBidi"/>
          <w:sz w:val="24"/>
          <w:szCs w:val="24"/>
        </w:rPr>
        <w:t>54,8</w:t>
      </w:r>
      <w:r>
        <w:rPr>
          <w:rFonts w:asciiTheme="majorBidi" w:hAnsiTheme="majorBidi" w:cstheme="majorBidi"/>
          <w:sz w:val="24"/>
          <w:szCs w:val="24"/>
          <w:lang w:val="sv-SE"/>
        </w:rPr>
        <w:t>%. Sedangkan</w:t>
      </w:r>
      <w:r>
        <w:rPr>
          <w:rFonts w:asciiTheme="majorBidi" w:hAnsiTheme="majorBidi" w:cstheme="majorBidi"/>
          <w:color w:val="FFFFFF"/>
          <w:sz w:val="24"/>
          <w:szCs w:val="24"/>
        </w:rPr>
        <w:t>i</w:t>
      </w:r>
      <w:r>
        <w:rPr>
          <w:rFonts w:asciiTheme="majorBidi" w:hAnsiTheme="majorBidi" w:cstheme="majorBidi"/>
          <w:sz w:val="24"/>
          <w:szCs w:val="24"/>
          <w:lang w:val="sv-SE"/>
        </w:rPr>
        <w:t>sisanya sebesar</w:t>
      </w:r>
      <w:r>
        <w:rPr>
          <w:rFonts w:asciiTheme="majorBidi" w:hAnsiTheme="majorBidi" w:cstheme="majorBidi"/>
          <w:color w:val="FFFFFF"/>
          <w:sz w:val="24"/>
          <w:szCs w:val="24"/>
        </w:rPr>
        <w:t>i</w:t>
      </w:r>
      <w:r>
        <w:rPr>
          <w:rFonts w:asciiTheme="majorBidi" w:hAnsiTheme="majorBidi" w:cstheme="majorBidi"/>
          <w:sz w:val="24"/>
          <w:szCs w:val="24"/>
        </w:rPr>
        <w:t>45,2</w:t>
      </w:r>
      <w:r>
        <w:rPr>
          <w:rFonts w:asciiTheme="majorBidi" w:hAnsiTheme="majorBidi" w:cstheme="majorBidi"/>
          <w:sz w:val="24"/>
          <w:szCs w:val="24"/>
          <w:lang w:val="sv-SE"/>
        </w:rPr>
        <w:t>% mendapat</w:t>
      </w:r>
      <w:r>
        <w:rPr>
          <w:rFonts w:asciiTheme="majorBidi" w:hAnsiTheme="majorBidi" w:cstheme="majorBidi"/>
          <w:color w:val="FFFFFF"/>
          <w:sz w:val="24"/>
          <w:szCs w:val="24"/>
        </w:rPr>
        <w:t>i</w:t>
      </w:r>
      <w:r>
        <w:rPr>
          <w:rFonts w:asciiTheme="majorBidi" w:hAnsiTheme="majorBidi" w:cstheme="majorBidi"/>
          <w:sz w:val="24"/>
          <w:szCs w:val="24"/>
          <w:lang w:val="sv-SE"/>
        </w:rPr>
        <w:t>kontribusi dari variabel</w:t>
      </w:r>
      <w:r>
        <w:rPr>
          <w:rFonts w:asciiTheme="majorBidi" w:hAnsiTheme="majorBidi" w:cstheme="majorBidi"/>
          <w:color w:val="FFFFFF"/>
          <w:sz w:val="24"/>
          <w:szCs w:val="24"/>
        </w:rPr>
        <w:t>i</w:t>
      </w:r>
      <w:r>
        <w:rPr>
          <w:rFonts w:asciiTheme="majorBidi" w:hAnsiTheme="majorBidi" w:cstheme="majorBidi"/>
          <w:sz w:val="24"/>
          <w:szCs w:val="24"/>
          <w:lang w:val="sv-SE"/>
        </w:rPr>
        <w:t>lain</w:t>
      </w:r>
      <w:r>
        <w:rPr>
          <w:rFonts w:asciiTheme="majorBidi" w:hAnsiTheme="majorBidi" w:cstheme="majorBidi"/>
          <w:sz w:val="24"/>
          <w:szCs w:val="24"/>
        </w:rPr>
        <w:t xml:space="preserve"> yang tidak</w:t>
      </w:r>
      <w:r>
        <w:rPr>
          <w:rFonts w:asciiTheme="majorBidi" w:hAnsiTheme="majorBidi" w:cstheme="majorBidi"/>
          <w:color w:val="FFFFFF"/>
          <w:sz w:val="24"/>
          <w:szCs w:val="24"/>
        </w:rPr>
        <w:t>i</w:t>
      </w:r>
      <w:r>
        <w:rPr>
          <w:rFonts w:asciiTheme="majorBidi" w:hAnsiTheme="majorBidi" w:cstheme="majorBidi"/>
          <w:sz w:val="24"/>
          <w:szCs w:val="24"/>
        </w:rPr>
        <w:t>diteliti</w:t>
      </w:r>
      <w:r>
        <w:rPr>
          <w:rFonts w:asciiTheme="majorBidi" w:hAnsiTheme="majorBidi" w:cstheme="majorBidi"/>
          <w:color w:val="FFFFFF"/>
          <w:sz w:val="24"/>
          <w:szCs w:val="24"/>
        </w:rPr>
        <w:t>i</w:t>
      </w:r>
      <w:r>
        <w:rPr>
          <w:rFonts w:asciiTheme="majorBidi" w:hAnsiTheme="majorBidi" w:cstheme="majorBidi"/>
          <w:sz w:val="24"/>
          <w:szCs w:val="24"/>
        </w:rPr>
        <w:t>dalam penelitian ini.</w:t>
      </w:r>
      <w:r>
        <w:rPr>
          <w:rFonts w:eastAsia="SimSun" w:asciiTheme="majorBidi" w:hAnsiTheme="majorBidi" w:cstheme="majorBidi"/>
          <w:sz w:val="24"/>
          <w:szCs w:val="24"/>
        </w:rPr>
        <w:t xml:space="preserve">  </w:t>
      </w:r>
    </w:p>
    <w:p>
      <w:pPr>
        <w:pStyle w:val="56"/>
        <w:ind w:hanging="2"/>
        <w:jc w:val="center"/>
        <w:rPr>
          <w:rFonts w:ascii="Times New Roman" w:hAnsi="Times New Roman" w:cs="Times New Roman"/>
          <w:b/>
          <w:bCs/>
          <w:color w:val="000000"/>
          <w:sz w:val="24"/>
          <w:szCs w:val="24"/>
          <w:lang w:val="id-ID"/>
        </w:rPr>
      </w:pPr>
      <w:r>
        <w:rPr>
          <w:rFonts w:ascii="Times New Roman" w:hAnsi="Times New Roman" w:cs="Times New Roman"/>
          <w:b/>
          <w:bCs/>
          <w:color w:val="000000"/>
          <w:sz w:val="24"/>
          <w:szCs w:val="24"/>
          <w:lang w:val="id-ID"/>
        </w:rPr>
        <w:t>Tabel 8.</w:t>
      </w:r>
    </w:p>
    <w:p>
      <w:pPr>
        <w:pStyle w:val="34"/>
        <w:spacing w:after="0" w:line="240" w:lineRule="auto"/>
        <w:ind w:left="0" w:hanging="2"/>
        <w:jc w:val="center"/>
        <w:rPr>
          <w:sz w:val="24"/>
          <w:szCs w:val="24"/>
        </w:rPr>
      </w:pPr>
      <w:r>
        <w:rPr>
          <w:rFonts w:ascii="Times New Roman" w:hAnsi="Times New Roman" w:cs="Times New Roman"/>
          <w:b/>
          <w:bCs/>
          <w:color w:val="000000"/>
          <w:sz w:val="24"/>
          <w:szCs w:val="24"/>
        </w:rPr>
        <w:t xml:space="preserve">Uji Adjusted R Square </w:t>
      </w:r>
    </w:p>
    <w:tbl>
      <w:tblPr>
        <w:tblStyle w:val="9"/>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30" w:type="dxa"/>
          <w:bottom w:w="0" w:type="dxa"/>
          <w:right w:w="30" w:type="dxa"/>
        </w:tblCellMar>
      </w:tblPr>
      <w:tblGrid>
        <w:gridCol w:w="681"/>
        <w:gridCol w:w="548"/>
        <w:gridCol w:w="936"/>
        <w:gridCol w:w="1804"/>
        <w:gridCol w:w="238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30" w:type="dxa"/>
            <w:bottom w:w="0" w:type="dxa"/>
            <w:right w:w="30" w:type="dxa"/>
          </w:tblCellMar>
        </w:tblPrEx>
        <w:trPr>
          <w:cantSplit/>
          <w:tblHeader/>
          <w:jc w:val="center"/>
        </w:trPr>
        <w:tc>
          <w:tcPr>
            <w:tcW w:w="0" w:type="auto"/>
            <w:gridSpan w:val="5"/>
            <w:tcBorders>
              <w:top w:val="nil"/>
              <w:left w:val="nil"/>
              <w:bottom w:val="single" w:color="auto" w:sz="4" w:space="0"/>
              <w:right w:val="nil"/>
            </w:tcBorders>
            <w:shd w:val="clear" w:color="auto" w:fill="FFFFFF"/>
            <w:tcMar>
              <w:top w:w="30" w:type="dxa"/>
              <w:left w:w="30" w:type="dxa"/>
              <w:bottom w:w="30" w:type="dxa"/>
              <w:right w:w="30" w:type="dxa"/>
            </w:tcMar>
            <w:vAlign w:val="center"/>
          </w:tcPr>
          <w:p>
            <w:pPr>
              <w:adjustRightInd w:val="0"/>
              <w:ind w:left="0" w:hanging="2"/>
              <w:jc w:val="center"/>
              <w:rPr>
                <w:rFonts w:ascii="Arial" w:hAnsi="Arial" w:cs="Arial"/>
                <w:color w:val="000000"/>
                <w:sz w:val="18"/>
                <w:szCs w:val="18"/>
              </w:rPr>
            </w:pPr>
            <w:r>
              <w:rPr>
                <w:rFonts w:ascii="Arial" w:hAnsi="Arial" w:cs="Arial"/>
                <w:b/>
                <w:bCs/>
                <w:color w:val="000000"/>
                <w:sz w:val="18"/>
                <w:szCs w:val="18"/>
              </w:rPr>
              <w:t>Model</w:t>
            </w:r>
            <w:r>
              <w:rPr>
                <w:rFonts w:ascii="Arial" w:hAnsi="Arial" w:cs="Arial"/>
                <w:b/>
                <w:bCs/>
                <w:color w:val="FFFFFF"/>
                <w:sz w:val="18"/>
                <w:szCs w:val="18"/>
              </w:rPr>
              <w:t>i</w:t>
            </w:r>
            <w:r>
              <w:rPr>
                <w:rFonts w:ascii="Arial" w:hAnsi="Arial" w:cs="Arial"/>
                <w:b/>
                <w:bCs/>
                <w:color w:val="000000"/>
                <w:sz w:val="18"/>
                <w:szCs w:val="18"/>
              </w:rPr>
              <w:t>Summary</w:t>
            </w:r>
            <w:r>
              <w:rPr>
                <w:rFonts w:ascii="Arial" w:hAnsi="Arial" w:cs="Arial"/>
                <w:b/>
                <w:bCs/>
                <w:color w:val="000000"/>
                <w:sz w:val="18"/>
                <w:szCs w:val="18"/>
                <w:vertAlign w:val="superscript"/>
              </w:rPr>
              <w:t>b</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30" w:type="dxa"/>
            <w:bottom w:w="0" w:type="dxa"/>
            <w:right w:w="30" w:type="dxa"/>
          </w:tblCellMar>
        </w:tblPrEx>
        <w:trPr>
          <w:cantSplit/>
          <w:tblHeader/>
          <w:jc w:val="center"/>
        </w:trPr>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vAlign w:val="bottom"/>
          </w:tcPr>
          <w:p>
            <w:pPr>
              <w:adjustRightInd w:val="0"/>
              <w:ind w:left="0" w:hanging="2"/>
              <w:rPr>
                <w:rFonts w:ascii="Arial" w:hAnsi="Arial" w:cs="Arial"/>
                <w:color w:val="000000"/>
                <w:sz w:val="18"/>
                <w:szCs w:val="18"/>
              </w:rPr>
            </w:pPr>
            <w:r>
              <w:rPr>
                <w:rFonts w:ascii="Arial" w:hAnsi="Arial" w:cs="Arial"/>
                <w:color w:val="000000"/>
                <w:sz w:val="18"/>
                <w:szCs w:val="18"/>
              </w:rPr>
              <w:t>Model</w:t>
            </w:r>
            <w:r>
              <w:rPr>
                <w:rFonts w:ascii="Arial" w:hAnsi="Arial" w:cs="Arial"/>
                <w:color w:val="FFFFFF"/>
                <w:sz w:val="18"/>
                <w:szCs w:val="18"/>
              </w:rPr>
              <w:t>i</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vAlign w:val="bottom"/>
          </w:tcPr>
          <w:p>
            <w:pPr>
              <w:adjustRightInd w:val="0"/>
              <w:ind w:left="0" w:hanging="2"/>
              <w:jc w:val="center"/>
              <w:rPr>
                <w:rFonts w:ascii="Arial" w:hAnsi="Arial" w:cs="Arial"/>
                <w:color w:val="000000"/>
                <w:sz w:val="18"/>
                <w:szCs w:val="18"/>
              </w:rPr>
            </w:pPr>
            <w:r>
              <w:rPr>
                <w:rFonts w:ascii="Arial" w:hAnsi="Arial" w:cs="Arial"/>
                <w:color w:val="000000"/>
                <w:sz w:val="18"/>
                <w:szCs w:val="18"/>
              </w:rPr>
              <w:t>R</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vAlign w:val="bottom"/>
          </w:tcPr>
          <w:p>
            <w:pPr>
              <w:adjustRightInd w:val="0"/>
              <w:ind w:left="0" w:hanging="2"/>
              <w:jc w:val="center"/>
              <w:rPr>
                <w:rFonts w:ascii="Arial" w:hAnsi="Arial" w:cs="Arial"/>
                <w:color w:val="000000"/>
                <w:sz w:val="18"/>
                <w:szCs w:val="18"/>
              </w:rPr>
            </w:pPr>
            <w:r>
              <w:rPr>
                <w:rFonts w:ascii="Arial" w:hAnsi="Arial" w:cs="Arial"/>
                <w:color w:val="000000"/>
                <w:sz w:val="18"/>
                <w:szCs w:val="18"/>
              </w:rPr>
              <w:t>R</w:t>
            </w:r>
            <w:r>
              <w:rPr>
                <w:rFonts w:ascii="Arial" w:hAnsi="Arial" w:cs="Arial"/>
                <w:color w:val="FFFFFF"/>
                <w:sz w:val="18"/>
                <w:szCs w:val="18"/>
              </w:rPr>
              <w:t>i</w:t>
            </w:r>
            <w:r>
              <w:rPr>
                <w:rFonts w:ascii="Arial" w:hAnsi="Arial" w:cs="Arial"/>
                <w:color w:val="000000"/>
                <w:sz w:val="18"/>
                <w:szCs w:val="18"/>
              </w:rPr>
              <w:t>Square</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vAlign w:val="bottom"/>
          </w:tcPr>
          <w:p>
            <w:pPr>
              <w:adjustRightInd w:val="0"/>
              <w:ind w:left="0" w:hanging="2"/>
              <w:jc w:val="center"/>
              <w:rPr>
                <w:rFonts w:ascii="Arial" w:hAnsi="Arial" w:cs="Arial"/>
                <w:color w:val="000000"/>
                <w:sz w:val="18"/>
                <w:szCs w:val="18"/>
              </w:rPr>
            </w:pPr>
            <w:r>
              <w:rPr>
                <w:rFonts w:ascii="Arial" w:hAnsi="Arial" w:cs="Arial"/>
                <w:color w:val="000000"/>
                <w:sz w:val="18"/>
                <w:szCs w:val="18"/>
              </w:rPr>
              <w:t>Adjusted</w:t>
            </w:r>
            <w:r>
              <w:rPr>
                <w:rFonts w:ascii="Arial" w:hAnsi="Arial" w:cs="Arial"/>
                <w:color w:val="FFFFFF"/>
                <w:sz w:val="18"/>
                <w:szCs w:val="18"/>
              </w:rPr>
              <w:t>i</w:t>
            </w:r>
            <w:r>
              <w:rPr>
                <w:rFonts w:ascii="Arial" w:hAnsi="Arial" w:cs="Arial"/>
                <w:color w:val="000000"/>
                <w:sz w:val="18"/>
                <w:szCs w:val="18"/>
              </w:rPr>
              <w:t>R Square</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vAlign w:val="bottom"/>
          </w:tcPr>
          <w:p>
            <w:pPr>
              <w:adjustRightInd w:val="0"/>
              <w:ind w:left="0" w:hanging="2"/>
              <w:jc w:val="center"/>
              <w:rPr>
                <w:rFonts w:ascii="Arial" w:hAnsi="Arial" w:cs="Arial"/>
                <w:color w:val="000000"/>
                <w:sz w:val="18"/>
                <w:szCs w:val="18"/>
              </w:rPr>
            </w:pPr>
            <w:r>
              <w:rPr>
                <w:rFonts w:ascii="Arial" w:hAnsi="Arial" w:cs="Arial"/>
                <w:color w:val="000000"/>
                <w:sz w:val="18"/>
                <w:szCs w:val="18"/>
              </w:rPr>
              <w:t>Std.</w:t>
            </w:r>
            <w:r>
              <w:rPr>
                <w:rFonts w:ascii="Arial" w:hAnsi="Arial" w:cs="Arial"/>
                <w:color w:val="FFFFFF"/>
                <w:sz w:val="18"/>
                <w:szCs w:val="18"/>
              </w:rPr>
              <w:t>i</w:t>
            </w:r>
            <w:r>
              <w:rPr>
                <w:rFonts w:ascii="Arial" w:hAnsi="Arial" w:cs="Arial"/>
                <w:color w:val="000000"/>
                <w:sz w:val="18"/>
                <w:szCs w:val="18"/>
              </w:rPr>
              <w:t>Error of the</w:t>
            </w:r>
            <w:r>
              <w:rPr>
                <w:rFonts w:ascii="Arial" w:hAnsi="Arial" w:cs="Arial"/>
                <w:color w:val="FFFFFF"/>
                <w:sz w:val="18"/>
                <w:szCs w:val="18"/>
              </w:rPr>
              <w:t>i</w:t>
            </w:r>
            <w:r>
              <w:rPr>
                <w:rFonts w:ascii="Arial" w:hAnsi="Arial" w:cs="Arial"/>
                <w:color w:val="000000"/>
                <w:sz w:val="18"/>
                <w:szCs w:val="18"/>
              </w:rPr>
              <w:t>Estimate</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30" w:type="dxa"/>
            <w:bottom w:w="0" w:type="dxa"/>
            <w:right w:w="30" w:type="dxa"/>
          </w:tblCellMar>
        </w:tblPrEx>
        <w:trPr>
          <w:cantSplit/>
          <w:tblHeader/>
          <w:jc w:val="center"/>
        </w:trPr>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tcPr>
          <w:p>
            <w:pPr>
              <w:adjustRightInd w:val="0"/>
              <w:ind w:left="0" w:hanging="2"/>
              <w:rPr>
                <w:rFonts w:ascii="Arial" w:hAnsi="Arial" w:cs="Arial"/>
                <w:color w:val="000000"/>
                <w:sz w:val="18"/>
                <w:szCs w:val="18"/>
              </w:rPr>
            </w:pPr>
            <w:r>
              <w:rPr>
                <w:rFonts w:ascii="Arial" w:hAnsi="Arial" w:cs="Arial"/>
                <w:color w:val="000000"/>
                <w:sz w:val="18"/>
                <w:szCs w:val="18"/>
              </w:rPr>
              <w:t>1</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tcPr>
          <w:p>
            <w:pPr>
              <w:adjustRightInd w:val="0"/>
              <w:ind w:left="0" w:hanging="2"/>
              <w:jc w:val="right"/>
              <w:rPr>
                <w:rFonts w:ascii="Arial" w:hAnsi="Arial" w:cs="Arial"/>
                <w:color w:val="000000"/>
                <w:sz w:val="18"/>
                <w:szCs w:val="18"/>
              </w:rPr>
            </w:pPr>
            <w:r>
              <w:rPr>
                <w:rFonts w:ascii="Arial" w:hAnsi="Arial" w:cs="Arial"/>
                <w:color w:val="000000"/>
                <w:sz w:val="18"/>
                <w:szCs w:val="18"/>
              </w:rPr>
              <w:t>.609</w:t>
            </w:r>
            <w:r>
              <w:rPr>
                <w:rFonts w:ascii="Arial" w:hAnsi="Arial" w:cs="Arial"/>
                <w:color w:val="000000"/>
                <w:sz w:val="18"/>
                <w:szCs w:val="18"/>
                <w:vertAlign w:val="superscript"/>
              </w:rPr>
              <w:t>a</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tcPr>
          <w:p>
            <w:pPr>
              <w:adjustRightInd w:val="0"/>
              <w:ind w:left="0" w:hanging="2"/>
              <w:jc w:val="right"/>
              <w:rPr>
                <w:rFonts w:ascii="Arial" w:hAnsi="Arial" w:cs="Arial"/>
                <w:color w:val="000000"/>
                <w:sz w:val="18"/>
                <w:szCs w:val="18"/>
              </w:rPr>
            </w:pPr>
            <w:r>
              <w:rPr>
                <w:rFonts w:ascii="Arial" w:hAnsi="Arial" w:cs="Arial"/>
                <w:color w:val="000000"/>
                <w:sz w:val="18"/>
                <w:szCs w:val="18"/>
              </w:rPr>
              <w:t>.568</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tcPr>
          <w:p>
            <w:pPr>
              <w:adjustRightInd w:val="0"/>
              <w:ind w:left="0" w:hanging="2"/>
              <w:jc w:val="right"/>
              <w:rPr>
                <w:rFonts w:ascii="Arial" w:hAnsi="Arial" w:cs="Arial"/>
                <w:color w:val="000000"/>
                <w:sz w:val="18"/>
                <w:szCs w:val="18"/>
              </w:rPr>
            </w:pPr>
            <w:r>
              <w:rPr>
                <w:rFonts w:ascii="Arial" w:hAnsi="Arial" w:cs="Arial"/>
                <w:color w:val="000000"/>
                <w:sz w:val="18"/>
                <w:szCs w:val="18"/>
              </w:rPr>
              <w:t>.548</w:t>
            </w:r>
          </w:p>
        </w:tc>
        <w:tc>
          <w:tcPr>
            <w:tcW w:w="0" w:type="auto"/>
            <w:tcBorders>
              <w:top w:val="single" w:color="auto" w:sz="4" w:space="0"/>
              <w:left w:val="nil"/>
              <w:bottom w:val="single" w:color="auto" w:sz="4" w:space="0"/>
              <w:right w:val="nil"/>
            </w:tcBorders>
            <w:shd w:val="clear" w:color="auto" w:fill="FFFFFF"/>
            <w:tcMar>
              <w:top w:w="30" w:type="dxa"/>
              <w:left w:w="30" w:type="dxa"/>
              <w:bottom w:w="30" w:type="dxa"/>
              <w:right w:w="30" w:type="dxa"/>
            </w:tcMar>
          </w:tcPr>
          <w:p>
            <w:pPr>
              <w:adjustRightInd w:val="0"/>
              <w:ind w:left="0" w:hanging="2"/>
              <w:jc w:val="right"/>
              <w:rPr>
                <w:rFonts w:ascii="Arial" w:hAnsi="Arial" w:cs="Arial"/>
                <w:color w:val="000000"/>
                <w:sz w:val="18"/>
                <w:szCs w:val="18"/>
              </w:rPr>
            </w:pPr>
            <w:r>
              <w:rPr>
                <w:rFonts w:ascii="Arial" w:hAnsi="Arial" w:cs="Arial"/>
                <w:color w:val="000000"/>
                <w:sz w:val="18"/>
                <w:szCs w:val="18"/>
              </w:rPr>
              <w:t>1.785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30" w:type="dxa"/>
            <w:bottom w:w="0" w:type="dxa"/>
            <w:right w:w="30" w:type="dxa"/>
          </w:tblCellMar>
        </w:tblPrEx>
        <w:trPr>
          <w:cantSplit/>
          <w:tblHeader/>
          <w:jc w:val="center"/>
        </w:trPr>
        <w:tc>
          <w:tcPr>
            <w:tcW w:w="0" w:type="auto"/>
            <w:gridSpan w:val="5"/>
            <w:tcBorders>
              <w:top w:val="single" w:color="auto" w:sz="4" w:space="0"/>
              <w:left w:val="nil"/>
              <w:bottom w:val="nil"/>
              <w:right w:val="nil"/>
            </w:tcBorders>
            <w:shd w:val="clear" w:color="auto" w:fill="FFFFFF"/>
            <w:tcMar>
              <w:top w:w="30" w:type="dxa"/>
              <w:left w:w="30" w:type="dxa"/>
              <w:bottom w:w="30" w:type="dxa"/>
              <w:right w:w="30" w:type="dxa"/>
            </w:tcMar>
          </w:tcPr>
          <w:p>
            <w:pPr>
              <w:pStyle w:val="34"/>
              <w:widowControl w:val="0"/>
              <w:numPr>
                <w:ilvl w:val="2"/>
                <w:numId w:val="2"/>
              </w:numPr>
              <w:suppressAutoHyphens w:val="0"/>
              <w:autoSpaceDE w:val="0"/>
              <w:autoSpaceDN w:val="0"/>
              <w:spacing w:after="0" w:line="240" w:lineRule="auto"/>
              <w:ind w:left="0" w:leftChars="0" w:hanging="2" w:firstLineChars="0"/>
              <w:contextualSpacing w:val="0"/>
              <w:jc w:val="both"/>
              <w:textAlignment w:val="auto"/>
              <w:outlineLvl w:val="9"/>
              <w:rPr>
                <w:rFonts w:ascii="Arial" w:hAnsi="Arial"/>
                <w:sz w:val="18"/>
                <w:szCs w:val="18"/>
              </w:rPr>
            </w:pPr>
            <w:r>
              <w:rPr>
                <w:rFonts w:ascii="Arial" w:hAnsi="Arial"/>
                <w:sz w:val="18"/>
                <w:szCs w:val="18"/>
              </w:rPr>
              <w:t>Predictors</w:t>
            </w:r>
            <w:r>
              <w:rPr>
                <w:rFonts w:ascii="Arial" w:hAnsi="Arial"/>
                <w:color w:val="FFFFFF"/>
                <w:sz w:val="18"/>
                <w:szCs w:val="18"/>
              </w:rPr>
              <w:t>i</w:t>
            </w:r>
            <w:r>
              <w:rPr>
                <w:rFonts w:ascii="Arial" w:hAnsi="Arial"/>
                <w:sz w:val="18"/>
                <w:szCs w:val="18"/>
              </w:rPr>
              <w:t>:</w:t>
            </w:r>
            <w:r>
              <w:rPr>
                <w:rFonts w:ascii="Arial" w:hAnsi="Arial"/>
                <w:color w:val="FFFFFF"/>
                <w:sz w:val="18"/>
                <w:szCs w:val="18"/>
              </w:rPr>
              <w:t>i</w:t>
            </w:r>
            <w:r>
              <w:rPr>
                <w:rFonts w:ascii="Arial" w:hAnsi="Arial"/>
                <w:sz w:val="18"/>
                <w:szCs w:val="18"/>
              </w:rPr>
              <w:t>(Constant): kepemimpinan, budaya</w:t>
            </w:r>
            <w:r>
              <w:rPr>
                <w:rFonts w:ascii="Arial" w:hAnsi="Arial"/>
                <w:color w:val="FFFFFF"/>
                <w:sz w:val="18"/>
                <w:szCs w:val="18"/>
              </w:rPr>
              <w:t>i</w:t>
            </w:r>
            <w:r>
              <w:rPr>
                <w:rFonts w:ascii="Arial" w:hAnsi="Arial"/>
                <w:sz w:val="18"/>
                <w:szCs w:val="18"/>
              </w:rPr>
              <w:t>kerja, lingkungan</w:t>
            </w:r>
            <w:r>
              <w:rPr>
                <w:rFonts w:ascii="Arial" w:hAnsi="Arial"/>
                <w:color w:val="FFFFFF"/>
                <w:sz w:val="18"/>
                <w:szCs w:val="18"/>
              </w:rPr>
              <w:t>i</w:t>
            </w:r>
            <w:r>
              <w:rPr>
                <w:rFonts w:ascii="Arial" w:hAnsi="Arial"/>
                <w:sz w:val="18"/>
                <w:szCs w:val="18"/>
              </w:rPr>
              <w:t>kerja</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30" w:type="dxa"/>
            <w:bottom w:w="0" w:type="dxa"/>
            <w:right w:w="30" w:type="dxa"/>
          </w:tblCellMar>
        </w:tblPrEx>
        <w:trPr>
          <w:cantSplit/>
          <w:jc w:val="center"/>
        </w:trPr>
        <w:tc>
          <w:tcPr>
            <w:tcW w:w="0" w:type="auto"/>
            <w:gridSpan w:val="5"/>
            <w:tcBorders>
              <w:top w:val="nil"/>
              <w:left w:val="nil"/>
              <w:bottom w:val="nil"/>
              <w:right w:val="nil"/>
            </w:tcBorders>
            <w:shd w:val="clear" w:color="auto" w:fill="FFFFFF"/>
            <w:tcMar>
              <w:top w:w="30" w:type="dxa"/>
              <w:left w:w="30" w:type="dxa"/>
              <w:bottom w:w="30" w:type="dxa"/>
              <w:right w:w="30" w:type="dxa"/>
            </w:tcMar>
          </w:tcPr>
          <w:p>
            <w:pPr>
              <w:pStyle w:val="34"/>
              <w:widowControl w:val="0"/>
              <w:numPr>
                <w:ilvl w:val="2"/>
                <w:numId w:val="2"/>
              </w:numPr>
              <w:suppressAutoHyphens w:val="0"/>
              <w:autoSpaceDE w:val="0"/>
              <w:autoSpaceDN w:val="0"/>
              <w:spacing w:after="0" w:line="240" w:lineRule="auto"/>
              <w:ind w:left="0" w:leftChars="0" w:hanging="2" w:firstLineChars="0"/>
              <w:contextualSpacing w:val="0"/>
              <w:jc w:val="both"/>
              <w:textAlignment w:val="auto"/>
              <w:outlineLvl w:val="9"/>
              <w:rPr>
                <w:rFonts w:ascii="Arial" w:hAnsi="Arial"/>
                <w:sz w:val="18"/>
                <w:szCs w:val="18"/>
              </w:rPr>
            </w:pPr>
            <w:r>
              <w:rPr>
                <w:rFonts w:ascii="Arial" w:hAnsi="Arial"/>
                <w:sz w:val="18"/>
                <w:szCs w:val="18"/>
              </w:rPr>
              <w:t>Dependent</w:t>
            </w:r>
            <w:r>
              <w:rPr>
                <w:rFonts w:ascii="Arial" w:hAnsi="Arial"/>
                <w:color w:val="FFFFFF"/>
                <w:sz w:val="18"/>
                <w:szCs w:val="18"/>
              </w:rPr>
              <w:t>i</w:t>
            </w:r>
            <w:r>
              <w:rPr>
                <w:rFonts w:ascii="Arial" w:hAnsi="Arial"/>
                <w:sz w:val="18"/>
                <w:szCs w:val="18"/>
              </w:rPr>
              <w:t>Variable:</w:t>
            </w:r>
            <w:r>
              <w:rPr>
                <w:rFonts w:ascii="Arial" w:hAnsi="Arial"/>
                <w:spacing w:val="-1"/>
                <w:sz w:val="18"/>
                <w:szCs w:val="18"/>
              </w:rPr>
              <w:t xml:space="preserve"> </w:t>
            </w:r>
            <w:r>
              <w:rPr>
                <w:rFonts w:ascii="Arial" w:hAnsi="Arial"/>
                <w:sz w:val="18"/>
                <w:szCs w:val="18"/>
              </w:rPr>
              <w:t>kinerja</w:t>
            </w:r>
          </w:p>
        </w:tc>
      </w:tr>
    </w:tbl>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pP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contextualSpacing/>
        <w:jc w:val="both"/>
        <w:rPr>
          <w:color w:val="000000"/>
        </w:rPr>
      </w:pPr>
      <w:r>
        <w:rPr>
          <w:b/>
          <w:color w:val="000000"/>
        </w:rPr>
        <w:t>Kesimpulan</w:t>
      </w:r>
    </w:p>
    <w:p>
      <w:pPr>
        <w:pStyle w:val="56"/>
        <w:ind w:hanging="2"/>
        <w:contextualSpacing/>
        <w:jc w:val="both"/>
        <w:rPr>
          <w:rFonts w:asciiTheme="majorBidi" w:hAnsiTheme="majorBidi" w:cstheme="majorBidi"/>
          <w:sz w:val="24"/>
          <w:szCs w:val="24"/>
          <w:lang w:val="sv-SE"/>
        </w:rPr>
      </w:pPr>
      <w:r>
        <w:rPr>
          <w:rFonts w:asciiTheme="majorBidi" w:hAnsiTheme="majorBidi" w:cstheme="majorBidi"/>
          <w:sz w:val="24"/>
          <w:szCs w:val="24"/>
          <w:lang w:val="sv-SE"/>
        </w:rPr>
        <w:t>Berikut kesimpulan yang dapat diambil dari analisis data dan hasil pembahasan yang telah disampaikan pada bab sebelumnya:</w:t>
      </w:r>
    </w:p>
    <w:p>
      <w:pPr>
        <w:pStyle w:val="11"/>
        <w:shd w:val="clear" w:color="auto" w:fill="FFFFFF"/>
        <w:spacing w:after="0" w:line="240" w:lineRule="auto"/>
        <w:ind w:left="284" w:right="-71" w:hanging="285" w:hangingChars="119"/>
        <w:contextualSpacing/>
        <w:jc w:val="both"/>
        <w:rPr>
          <w:rFonts w:eastAsia="Calibri"/>
          <w:lang w:val="sv-SE"/>
        </w:rPr>
      </w:pPr>
      <w:r>
        <w:rPr>
          <w:rFonts w:eastAsia="Calibri"/>
          <w:lang w:val="sv-SE"/>
        </w:rPr>
        <w:t>1. Kinerja pegawai pada UPT Badan Meteorologi Hukum Dinas Perdagangan Kota Surakarta dipengaruhi secara positif dan signifikan oleh kepemimpinan.</w:t>
      </w:r>
    </w:p>
    <w:p>
      <w:pPr>
        <w:pStyle w:val="11"/>
        <w:shd w:val="clear" w:color="auto" w:fill="FFFFFF"/>
        <w:spacing w:after="0" w:line="240" w:lineRule="auto"/>
        <w:ind w:left="284" w:right="-71" w:hanging="285" w:hangingChars="119"/>
        <w:contextualSpacing/>
        <w:jc w:val="both"/>
        <w:rPr>
          <w:rFonts w:eastAsia="Calibri"/>
          <w:lang w:val="sv-SE"/>
        </w:rPr>
      </w:pPr>
      <w:r>
        <w:rPr>
          <w:rFonts w:eastAsia="Calibri"/>
          <w:lang w:val="sv-SE"/>
        </w:rPr>
        <w:t>2. Budaya kerja UPT Badan Meteorologi Hukum Dinas Perdagangan Kota Surakarta berpengaruh baik dan signifikan</w:t>
      </w:r>
      <w:r>
        <w:rPr>
          <w:rFonts w:eastAsia="Calibri"/>
          <w:color w:val="FFFFFF"/>
        </w:rPr>
        <w:t>i</w:t>
      </w:r>
      <w:r>
        <w:rPr>
          <w:rFonts w:eastAsia="Calibri"/>
          <w:lang w:val="sv-SE"/>
        </w:rPr>
        <w:t>terhadap</w:t>
      </w:r>
      <w:r>
        <w:rPr>
          <w:rFonts w:eastAsia="Calibri"/>
          <w:color w:val="FFFFFF"/>
        </w:rPr>
        <w:t>i</w:t>
      </w:r>
      <w:r>
        <w:rPr>
          <w:rFonts w:eastAsia="Calibri"/>
          <w:lang w:val="sv-SE"/>
        </w:rPr>
        <w:t>kinerja</w:t>
      </w:r>
      <w:r>
        <w:rPr>
          <w:rFonts w:eastAsia="Calibri"/>
          <w:color w:val="FFFFFF"/>
        </w:rPr>
        <w:t>i</w:t>
      </w:r>
      <w:r>
        <w:rPr>
          <w:rFonts w:eastAsia="Calibri"/>
          <w:lang w:val="sv-SE"/>
        </w:rPr>
        <w:t>pegawai.</w:t>
      </w:r>
    </w:p>
    <w:p>
      <w:pPr>
        <w:pStyle w:val="11"/>
        <w:shd w:val="clear" w:color="auto" w:fill="FFFFFF"/>
        <w:spacing w:after="0" w:line="240" w:lineRule="auto"/>
        <w:ind w:left="284" w:right="-71" w:hanging="285" w:hangingChars="119"/>
        <w:contextualSpacing/>
        <w:jc w:val="both"/>
        <w:rPr>
          <w:rFonts w:eastAsia="Calibri"/>
          <w:lang w:val="sv-SE"/>
        </w:rPr>
      </w:pPr>
      <w:r>
        <w:rPr>
          <w:rFonts w:eastAsia="Calibri"/>
          <w:lang w:val="sv-SE"/>
        </w:rPr>
        <w:t>3. Kinerja pegawai pada Kantor UPT Meterologi Hukum Dinas Perdagangan Kota Surakarta dipengaruhi secara positif dan signifikan oleh lingkungan kerja.</w:t>
      </w: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contextualSpacing/>
        <w:jc w:val="both"/>
        <w:rPr>
          <w:color w:val="000000"/>
        </w:rPr>
      </w:pPr>
      <w:r>
        <w:rPr>
          <w:rFonts w:eastAsia="Calibri"/>
          <w:lang w:val="sv-SE"/>
        </w:rPr>
        <w:t>Tiga unsur yaitu kepemimpinan, budaya</w:t>
      </w:r>
      <w:r>
        <w:rPr>
          <w:rFonts w:eastAsia="Calibri"/>
          <w:color w:val="FFFFFF"/>
        </w:rPr>
        <w:t>i</w:t>
      </w:r>
      <w:r>
        <w:rPr>
          <w:rFonts w:eastAsia="Calibri"/>
          <w:lang w:val="sv-SE"/>
        </w:rPr>
        <w:t>kerja, dan lingkungan</w:t>
      </w:r>
      <w:r>
        <w:rPr>
          <w:rFonts w:eastAsia="Calibri"/>
          <w:color w:val="FFFFFF"/>
        </w:rPr>
        <w:t>i</w:t>
      </w:r>
      <w:r>
        <w:rPr>
          <w:rFonts w:eastAsia="Calibri"/>
          <w:lang w:val="sv-SE"/>
        </w:rPr>
        <w:t>kerja</w:t>
      </w:r>
      <w:r>
        <w:rPr>
          <w:rFonts w:eastAsia="Calibri"/>
          <w:color w:val="FFFFFF"/>
        </w:rPr>
        <w:t>i</w:t>
      </w:r>
      <w:r>
        <w:rPr>
          <w:rFonts w:eastAsia="Calibri"/>
          <w:lang w:val="sv-SE"/>
        </w:rPr>
        <w:t>berpengaruh positif</w:t>
      </w:r>
      <w:r>
        <w:rPr>
          <w:rFonts w:eastAsia="Calibri"/>
          <w:color w:val="FFFFFF"/>
        </w:rPr>
        <w:t>i</w:t>
      </w:r>
      <w:r>
        <w:rPr>
          <w:rFonts w:eastAsia="Calibri"/>
          <w:lang w:val="sv-SE"/>
        </w:rPr>
        <w:t>dan</w:t>
      </w:r>
      <w:r>
        <w:rPr>
          <w:rFonts w:eastAsia="Calibri"/>
          <w:color w:val="FFFFFF"/>
        </w:rPr>
        <w:t>i</w:t>
      </w:r>
      <w:r>
        <w:rPr>
          <w:rFonts w:eastAsia="Calibri"/>
          <w:lang w:val="sv-SE"/>
        </w:rPr>
        <w:t>signifikan menurut hasil evaluasi variabel dengan uji F</w:t>
      </w:r>
      <w:r>
        <w:t>.</w:t>
      </w:r>
    </w:p>
    <w:p>
      <w:pPr>
        <w:pBdr>
          <w:top w:val="none" w:color="auto" w:sz="0" w:space="0"/>
          <w:left w:val="none" w:color="auto" w:sz="0" w:space="0"/>
          <w:bottom w:val="none" w:color="auto" w:sz="0" w:space="0"/>
          <w:right w:val="none" w:color="auto" w:sz="0" w:space="0"/>
          <w:between w:val="none" w:color="auto" w:sz="0" w:space="0"/>
        </w:pBdr>
        <w:spacing w:line="276" w:lineRule="auto"/>
        <w:ind w:left="0" w:hanging="2"/>
        <w:jc w:val="both"/>
        <w:rPr>
          <w:color w:val="000000"/>
        </w:rPr>
      </w:pPr>
    </w:p>
    <w:p>
      <w:pPr>
        <w:pStyle w:val="2"/>
        <w:tabs>
          <w:tab w:val="left" w:pos="0"/>
        </w:tabs>
        <w:ind w:left="0" w:hanging="2"/>
        <w:jc w:val="center"/>
        <w:rPr>
          <w:sz w:val="24"/>
          <w:szCs w:val="24"/>
        </w:rPr>
      </w:pPr>
      <w:r>
        <w:rPr>
          <w:sz w:val="24"/>
          <w:szCs w:val="24"/>
        </w:rPr>
        <w:t>Bibliografi</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Pr>
          <w:rFonts w:asciiTheme="majorBidi" w:hAnsiTheme="majorBidi" w:cstheme="majorBidi"/>
          <w:sz w:val="24"/>
          <w:szCs w:val="24"/>
        </w:rPr>
        <w:t xml:space="preserve">Alfian, A., &amp; Afrial, D. (2020). Pengaruh Kepemimpinan, Motivasi dan Disiplin Kerja terhadap Kinerja Karyawan. </w:t>
      </w:r>
      <w:r>
        <w:rPr>
          <w:rFonts w:asciiTheme="majorBidi" w:hAnsiTheme="majorBidi" w:cstheme="majorBidi"/>
          <w:i/>
          <w:iCs/>
          <w:sz w:val="24"/>
          <w:szCs w:val="24"/>
        </w:rPr>
        <w:t>Jurnal Pundi</w:t>
      </w:r>
      <w:r>
        <w:rPr>
          <w:rFonts w:asciiTheme="majorBidi" w:hAnsiTheme="majorBidi" w:cstheme="majorBidi"/>
          <w:sz w:val="24"/>
          <w:szCs w:val="24"/>
        </w:rPr>
        <w:t xml:space="preserve">, </w:t>
      </w:r>
      <w:r>
        <w:rPr>
          <w:rFonts w:asciiTheme="majorBidi" w:hAnsiTheme="majorBidi" w:cstheme="majorBidi"/>
          <w:i/>
          <w:iCs/>
          <w:sz w:val="24"/>
          <w:szCs w:val="24"/>
        </w:rPr>
        <w:t>3</w:t>
      </w:r>
      <w:r>
        <w:rPr>
          <w:rFonts w:asciiTheme="majorBidi" w:hAnsiTheme="majorBidi" w:cstheme="majorBidi"/>
          <w:sz w:val="24"/>
          <w:szCs w:val="24"/>
        </w:rPr>
        <w:t>(2), 91–98.</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Arifin, S., Putra, A. R., &amp; Hartanto, C. F. B. (2019). Pengaruh Kompetensi, Kompensasi dan Kepemimpinan terhadap Kinerja Karyawan. </w:t>
      </w:r>
      <w:r>
        <w:rPr>
          <w:rFonts w:asciiTheme="majorBidi" w:hAnsiTheme="majorBidi" w:cstheme="majorBidi"/>
          <w:i/>
          <w:iCs/>
          <w:sz w:val="24"/>
          <w:szCs w:val="24"/>
        </w:rPr>
        <w:t>Ekonomi, Keuangan, Investasi Dan Syariah (EKUITAS)</w:t>
      </w:r>
      <w:r>
        <w:rPr>
          <w:rFonts w:asciiTheme="majorBidi" w:hAnsiTheme="majorBidi" w:cstheme="majorBidi"/>
          <w:sz w:val="24"/>
          <w:szCs w:val="24"/>
        </w:rPr>
        <w:t xml:space="preserve">, </w:t>
      </w:r>
      <w:r>
        <w:rPr>
          <w:rFonts w:asciiTheme="majorBidi" w:hAnsiTheme="majorBidi" w:cstheme="majorBidi"/>
          <w:i/>
          <w:iCs/>
          <w:sz w:val="24"/>
          <w:szCs w:val="24"/>
        </w:rPr>
        <w:t>1</w:t>
      </w:r>
      <w:r>
        <w:rPr>
          <w:rFonts w:asciiTheme="majorBidi" w:hAnsiTheme="majorBidi" w:cstheme="majorBidi"/>
          <w:sz w:val="24"/>
          <w:szCs w:val="24"/>
        </w:rPr>
        <w:t>(1), 22–29.</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Aryanata, Y. H., Nurhidayah, N., &amp; Dianawati, E. (2022). Pengaruh Kedisiplinan, Motivasi Kerja Dan Lingkungan Kerja Terhadap Kinerja Karyawan (Studi Kasus Pada Flora Wisata Santerra De Laponte). </w:t>
      </w:r>
      <w:r>
        <w:rPr>
          <w:rFonts w:asciiTheme="majorBidi" w:hAnsiTheme="majorBidi" w:cstheme="majorBidi"/>
          <w:i/>
          <w:iCs/>
          <w:sz w:val="24"/>
          <w:szCs w:val="24"/>
        </w:rPr>
        <w:t>E-JRM: Elektronik Jurnal Riset Manajemen</w:t>
      </w:r>
      <w:r>
        <w:rPr>
          <w:rFonts w:asciiTheme="majorBidi" w:hAnsiTheme="majorBidi" w:cstheme="majorBidi"/>
          <w:sz w:val="24"/>
          <w:szCs w:val="24"/>
        </w:rPr>
        <w:t xml:space="preserve">, </w:t>
      </w:r>
      <w:r>
        <w:rPr>
          <w:rFonts w:asciiTheme="majorBidi" w:hAnsiTheme="majorBidi" w:cstheme="majorBidi"/>
          <w:i/>
          <w:iCs/>
          <w:sz w:val="24"/>
          <w:szCs w:val="24"/>
        </w:rPr>
        <w:t>12</w:t>
      </w:r>
      <w:r>
        <w:rPr>
          <w:rFonts w:asciiTheme="majorBidi" w:hAnsiTheme="majorBidi" w:cstheme="majorBidi"/>
          <w:sz w:val="24"/>
          <w:szCs w:val="24"/>
        </w:rPr>
        <w:t>(01).</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Faizal, R., Sulaeman, M., &amp; Yulizar, I. (2019). Pengaruh Budaya, Motivasi Kerja Dan Kompetensi Terhadap Kinerja Karyawan. </w:t>
      </w:r>
      <w:r>
        <w:rPr>
          <w:rFonts w:asciiTheme="majorBidi" w:hAnsiTheme="majorBidi" w:cstheme="majorBidi"/>
          <w:i/>
          <w:iCs/>
          <w:sz w:val="24"/>
          <w:szCs w:val="24"/>
        </w:rPr>
        <w:t>Jurnal EBA</w:t>
      </w:r>
      <w:r>
        <w:rPr>
          <w:rFonts w:asciiTheme="majorBidi" w:hAnsiTheme="majorBidi" w:cstheme="majorBidi"/>
          <w:sz w:val="24"/>
          <w:szCs w:val="24"/>
        </w:rPr>
        <w:t xml:space="preserve">, </w:t>
      </w:r>
      <w:r>
        <w:rPr>
          <w:rFonts w:asciiTheme="majorBidi" w:hAnsiTheme="majorBidi" w:cstheme="majorBidi"/>
          <w:i/>
          <w:iCs/>
          <w:sz w:val="24"/>
          <w:szCs w:val="24"/>
        </w:rPr>
        <w:t>5</w:t>
      </w:r>
      <w:r>
        <w:rPr>
          <w:rFonts w:asciiTheme="majorBidi" w:hAnsiTheme="majorBidi" w:cstheme="majorBidi"/>
          <w:sz w:val="24"/>
          <w:szCs w:val="24"/>
        </w:rPr>
        <w:t>(1).</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Farha, Y. A. (2021). </w:t>
      </w:r>
      <w:r>
        <w:rPr>
          <w:rFonts w:asciiTheme="majorBidi" w:hAnsiTheme="majorBidi" w:cstheme="majorBidi"/>
          <w:i/>
          <w:iCs/>
          <w:sz w:val="24"/>
          <w:szCs w:val="24"/>
        </w:rPr>
        <w:t>PENGARUH FLEXIBLE WORKING ARRANGEMENT DAN KEPUASAN KERJA TERHADAP KINERJA KARYAWAN DIREKTORAT TEKNOLOGI INFORMASI DAN KOMUNIKASI KANTOR PUSAT DITJEN PAJAK</w:t>
      </w:r>
      <w:r>
        <w:rPr>
          <w:rFonts w:asciiTheme="majorBidi" w:hAnsiTheme="majorBidi" w:cstheme="majorBidi"/>
          <w:sz w:val="24"/>
          <w:szCs w:val="24"/>
        </w:rPr>
        <w:t>. Universitas Pembangunan Nasional Veteran Jakarta.</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Fariz, M. (2022). </w:t>
      </w:r>
      <w:r>
        <w:rPr>
          <w:rFonts w:asciiTheme="majorBidi" w:hAnsiTheme="majorBidi" w:cstheme="majorBidi"/>
          <w:i/>
          <w:iCs/>
          <w:sz w:val="24"/>
          <w:szCs w:val="24"/>
        </w:rPr>
        <w:t>“Pengaruh Motivasi, Lingkungan Kerja Terhadap Kinerja Karyawan Dengan Kepuasaan Kerja Sebagai Variabel Mediasi Pada Dinas Kebersihan Dan Pertamanan Kota Medan</w:t>
      </w:r>
      <w:r>
        <w:rPr>
          <w:rFonts w:asciiTheme="majorBidi" w:hAnsiTheme="majorBidi" w:cstheme="majorBidi"/>
          <w:sz w:val="24"/>
          <w:szCs w:val="24"/>
        </w:rPr>
        <w:t>. UMSU.</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Fatmawati, F. M., Hartono, S., &amp; Istiatin, I. (2020). Kinerja Karyawan Ditinjau Dari Kepemimpinan, Lingkungan Kerja, Dan Disiplin Kerja Pada Showroom Muhari Motor 651 Karanganyar. </w:t>
      </w:r>
      <w:r>
        <w:rPr>
          <w:rFonts w:asciiTheme="majorBidi" w:hAnsiTheme="majorBidi" w:cstheme="majorBidi"/>
          <w:i/>
          <w:iCs/>
          <w:sz w:val="24"/>
          <w:szCs w:val="24"/>
        </w:rPr>
        <w:t>Jurnal Ilmiah Edunomika</w:t>
      </w:r>
      <w:r>
        <w:rPr>
          <w:rFonts w:asciiTheme="majorBidi" w:hAnsiTheme="majorBidi" w:cstheme="majorBidi"/>
          <w:sz w:val="24"/>
          <w:szCs w:val="24"/>
        </w:rPr>
        <w:t xml:space="preserve">, </w:t>
      </w:r>
      <w:r>
        <w:rPr>
          <w:rFonts w:asciiTheme="majorBidi" w:hAnsiTheme="majorBidi" w:cstheme="majorBidi"/>
          <w:i/>
          <w:iCs/>
          <w:sz w:val="24"/>
          <w:szCs w:val="24"/>
        </w:rPr>
        <w:t>4</w:t>
      </w:r>
      <w:r>
        <w:rPr>
          <w:rFonts w:asciiTheme="majorBidi" w:hAnsiTheme="majorBidi" w:cstheme="majorBidi"/>
          <w:sz w:val="24"/>
          <w:szCs w:val="24"/>
        </w:rPr>
        <w:t>(01).</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Fitriani, D., Nurlaela, N., &amp; Sudarwadi, D. (2019). Lingkungan Kerja Fisik, Lingkungan Kerja Non Fisik, dan Disiplin Kerja terhadap Kinerja Pegawai Guru Smk Negeri 1 Manokwari. </w:t>
      </w:r>
      <w:r>
        <w:rPr>
          <w:rFonts w:asciiTheme="majorBidi" w:hAnsiTheme="majorBidi" w:cstheme="majorBidi"/>
          <w:i/>
          <w:iCs/>
          <w:sz w:val="24"/>
          <w:szCs w:val="24"/>
        </w:rPr>
        <w:t>Cakrawala Management Business Journal</w:t>
      </w:r>
      <w:r>
        <w:rPr>
          <w:rFonts w:asciiTheme="majorBidi" w:hAnsiTheme="majorBidi" w:cstheme="majorBidi"/>
          <w:sz w:val="24"/>
          <w:szCs w:val="24"/>
        </w:rPr>
        <w:t xml:space="preserve">, </w:t>
      </w:r>
      <w:r>
        <w:rPr>
          <w:rFonts w:asciiTheme="majorBidi" w:hAnsiTheme="majorBidi" w:cstheme="majorBidi"/>
          <w:i/>
          <w:iCs/>
          <w:sz w:val="24"/>
          <w:szCs w:val="24"/>
        </w:rPr>
        <w:t>1</w:t>
      </w:r>
      <w:r>
        <w:rPr>
          <w:rFonts w:asciiTheme="majorBidi" w:hAnsiTheme="majorBidi" w:cstheme="majorBidi"/>
          <w:sz w:val="24"/>
          <w:szCs w:val="24"/>
        </w:rPr>
        <w:t>(1), 119–133.</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Ghozali, I. (2018). Aplikasi Analisis Multivariate dengan Program IBM SPSS 25 Edisi 9. Semarang: Badan penerbit Universitas Diponegoro. Variabel Pemoderasi. </w:t>
      </w:r>
      <w:r>
        <w:rPr>
          <w:rFonts w:asciiTheme="majorBidi" w:hAnsiTheme="majorBidi" w:cstheme="majorBidi"/>
          <w:i/>
          <w:iCs/>
          <w:sz w:val="24"/>
          <w:szCs w:val="24"/>
        </w:rPr>
        <w:t>E-Jurnal Akuntansi Universitas Udayana, 23 (2), 1470</w:t>
      </w:r>
      <w:r>
        <w:rPr>
          <w:rFonts w:asciiTheme="majorBidi" w:hAnsiTheme="majorBidi" w:cstheme="majorBidi"/>
          <w:sz w:val="24"/>
          <w:szCs w:val="24"/>
        </w:rPr>
        <w:t xml:space="preserve">, </w:t>
      </w:r>
      <w:r>
        <w:rPr>
          <w:rFonts w:asciiTheme="majorBidi" w:hAnsiTheme="majorBidi" w:cstheme="majorBidi"/>
          <w:i/>
          <w:iCs/>
          <w:sz w:val="24"/>
          <w:szCs w:val="24"/>
        </w:rPr>
        <w:t>1494</w:t>
      </w:r>
      <w:r>
        <w:rPr>
          <w:rFonts w:asciiTheme="majorBidi" w:hAnsiTheme="majorBidi" w:cstheme="majorBidi"/>
          <w:sz w:val="24"/>
          <w:szCs w:val="24"/>
        </w:rPr>
        <w:t>.</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Hadi, S., &amp; Abdurrahman, A. (2019). Pengaruh Sarana Kerja Dan Kemampuan Terhadap Kinerja Aparatur Kelurahan Landasan Ulin Selatan Kota Banjarbaru. </w:t>
      </w:r>
      <w:r>
        <w:rPr>
          <w:rFonts w:asciiTheme="majorBidi" w:hAnsiTheme="majorBidi" w:cstheme="majorBidi"/>
          <w:i/>
          <w:iCs/>
          <w:sz w:val="24"/>
          <w:szCs w:val="24"/>
        </w:rPr>
        <w:t>Administraus</w:t>
      </w:r>
      <w:r>
        <w:rPr>
          <w:rFonts w:asciiTheme="majorBidi" w:hAnsiTheme="majorBidi" w:cstheme="majorBidi"/>
          <w:sz w:val="24"/>
          <w:szCs w:val="24"/>
        </w:rPr>
        <w:t xml:space="preserve">, </w:t>
      </w:r>
      <w:r>
        <w:rPr>
          <w:rFonts w:asciiTheme="majorBidi" w:hAnsiTheme="majorBidi" w:cstheme="majorBidi"/>
          <w:i/>
          <w:iCs/>
          <w:sz w:val="24"/>
          <w:szCs w:val="24"/>
        </w:rPr>
        <w:t>3</w:t>
      </w:r>
      <w:r>
        <w:rPr>
          <w:rFonts w:asciiTheme="majorBidi" w:hAnsiTheme="majorBidi" w:cstheme="majorBidi"/>
          <w:sz w:val="24"/>
          <w:szCs w:val="24"/>
        </w:rPr>
        <w:t>(3), 57–92.</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Juliansyah, E. (2017). Strategi pengembangan sumber daya perusahaan dalam meningkatkan kinerja PDAM Kabupaten Sukabumi. </w:t>
      </w:r>
      <w:r>
        <w:rPr>
          <w:rFonts w:asciiTheme="majorBidi" w:hAnsiTheme="majorBidi" w:cstheme="majorBidi"/>
          <w:i/>
          <w:iCs/>
          <w:sz w:val="24"/>
          <w:szCs w:val="24"/>
        </w:rPr>
        <w:t>Jurnal Ekonomak</w:t>
      </w:r>
      <w:r>
        <w:rPr>
          <w:rFonts w:asciiTheme="majorBidi" w:hAnsiTheme="majorBidi" w:cstheme="majorBidi"/>
          <w:sz w:val="24"/>
          <w:szCs w:val="24"/>
        </w:rPr>
        <w:t xml:space="preserve">, </w:t>
      </w:r>
      <w:r>
        <w:rPr>
          <w:rFonts w:asciiTheme="majorBidi" w:hAnsiTheme="majorBidi" w:cstheme="majorBidi"/>
          <w:i/>
          <w:iCs/>
          <w:sz w:val="24"/>
          <w:szCs w:val="24"/>
        </w:rPr>
        <w:t>3</w:t>
      </w:r>
      <w:r>
        <w:rPr>
          <w:rFonts w:asciiTheme="majorBidi" w:hAnsiTheme="majorBidi" w:cstheme="majorBidi"/>
          <w:sz w:val="24"/>
          <w:szCs w:val="24"/>
        </w:rPr>
        <w:t>(2), 19–37.</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Kasandra, D., Frinaldi, A., &amp; Lanin, D. (2018). Pengaruh Budaya Kerja Pengemudi Angkutan Umum Kota Terhadap Kepuasan Penumpang di Kota Padang. </w:t>
      </w:r>
      <w:r>
        <w:rPr>
          <w:rFonts w:asciiTheme="majorBidi" w:hAnsiTheme="majorBidi" w:cstheme="majorBidi"/>
          <w:i/>
          <w:iCs/>
          <w:sz w:val="24"/>
          <w:szCs w:val="24"/>
        </w:rPr>
        <w:t>Spirit Publik: Jurnal Administrasi Publik</w:t>
      </w:r>
      <w:r>
        <w:rPr>
          <w:rFonts w:asciiTheme="majorBidi" w:hAnsiTheme="majorBidi" w:cstheme="majorBidi"/>
          <w:sz w:val="24"/>
          <w:szCs w:val="24"/>
        </w:rPr>
        <w:t xml:space="preserve">, </w:t>
      </w:r>
      <w:r>
        <w:rPr>
          <w:rFonts w:asciiTheme="majorBidi" w:hAnsiTheme="majorBidi" w:cstheme="majorBidi"/>
          <w:i/>
          <w:iCs/>
          <w:sz w:val="24"/>
          <w:szCs w:val="24"/>
        </w:rPr>
        <w:t>13</w:t>
      </w:r>
      <w:r>
        <w:rPr>
          <w:rFonts w:asciiTheme="majorBidi" w:hAnsiTheme="majorBidi" w:cstheme="majorBidi"/>
          <w:sz w:val="24"/>
          <w:szCs w:val="24"/>
        </w:rPr>
        <w:t>(1), 38–49.</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Kusjono, G., &amp; Ratnasari, P. (2019). Pengaruh Motivasi Dan Kompensasi Terhadap Kinerja Karyawan Pada PT. Sumber Tenaga Lestari (Citylight Apartment) Tangerang Selatan. </w:t>
      </w:r>
      <w:r>
        <w:rPr>
          <w:rFonts w:asciiTheme="majorBidi" w:hAnsiTheme="majorBidi" w:cstheme="majorBidi"/>
          <w:i/>
          <w:iCs/>
          <w:sz w:val="24"/>
          <w:szCs w:val="24"/>
        </w:rPr>
        <w:t>JENIUS (Jurnal Ilmiah Manajemen Sumber Daya Manusia)</w:t>
      </w:r>
      <w:r>
        <w:rPr>
          <w:rFonts w:asciiTheme="majorBidi" w:hAnsiTheme="majorBidi" w:cstheme="majorBidi"/>
          <w:sz w:val="24"/>
          <w:szCs w:val="24"/>
        </w:rPr>
        <w:t xml:space="preserve">, </w:t>
      </w:r>
      <w:r>
        <w:rPr>
          <w:rFonts w:asciiTheme="majorBidi" w:hAnsiTheme="majorBidi" w:cstheme="majorBidi"/>
          <w:i/>
          <w:iCs/>
          <w:sz w:val="24"/>
          <w:szCs w:val="24"/>
        </w:rPr>
        <w:t>2</w:t>
      </w:r>
      <w:r>
        <w:rPr>
          <w:rFonts w:asciiTheme="majorBidi" w:hAnsiTheme="majorBidi" w:cstheme="majorBidi"/>
          <w:sz w:val="24"/>
          <w:szCs w:val="24"/>
        </w:rPr>
        <w:t>(2), 224.</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Martini, I. A. O., &amp; Sarmawa, I. W. G. (2019). The Role of the Employee Work Motivation in Mediating the Work Culture towards Their Performance. </w:t>
      </w:r>
      <w:r>
        <w:rPr>
          <w:rFonts w:asciiTheme="majorBidi" w:hAnsiTheme="majorBidi" w:cstheme="majorBidi"/>
          <w:i/>
          <w:iCs/>
          <w:sz w:val="24"/>
          <w:szCs w:val="24"/>
        </w:rPr>
        <w:t>Jurnal Ekonomi &amp; Bisnis JAGADITHA</w:t>
      </w:r>
      <w:r>
        <w:rPr>
          <w:rFonts w:asciiTheme="majorBidi" w:hAnsiTheme="majorBidi" w:cstheme="majorBidi"/>
          <w:sz w:val="24"/>
          <w:szCs w:val="24"/>
        </w:rPr>
        <w:t xml:space="preserve">, </w:t>
      </w:r>
      <w:r>
        <w:rPr>
          <w:rFonts w:asciiTheme="majorBidi" w:hAnsiTheme="majorBidi" w:cstheme="majorBidi"/>
          <w:i/>
          <w:iCs/>
          <w:sz w:val="24"/>
          <w:szCs w:val="24"/>
        </w:rPr>
        <w:t>6</w:t>
      </w:r>
      <w:r>
        <w:rPr>
          <w:rFonts w:asciiTheme="majorBidi" w:hAnsiTheme="majorBidi" w:cstheme="majorBidi"/>
          <w:sz w:val="24"/>
          <w:szCs w:val="24"/>
        </w:rPr>
        <w:t>(1), 15–21.</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Meilina, R., &amp; Sardanto, R. (2020). Dampak perubahan lingkungan kerja non fisik masa pandemi COVID-19 bagi karyawan toserba barokah kota Kediri. </w:t>
      </w:r>
      <w:r>
        <w:rPr>
          <w:rFonts w:asciiTheme="majorBidi" w:hAnsiTheme="majorBidi" w:cstheme="majorBidi"/>
          <w:i/>
          <w:iCs/>
          <w:sz w:val="24"/>
          <w:szCs w:val="24"/>
        </w:rPr>
        <w:t>PENATARAN: Jurnal Penelitian Manajemen Terapan</w:t>
      </w:r>
      <w:r>
        <w:rPr>
          <w:rFonts w:asciiTheme="majorBidi" w:hAnsiTheme="majorBidi" w:cstheme="majorBidi"/>
          <w:sz w:val="24"/>
          <w:szCs w:val="24"/>
        </w:rPr>
        <w:t xml:space="preserve">, </w:t>
      </w:r>
      <w:r>
        <w:rPr>
          <w:rFonts w:asciiTheme="majorBidi" w:hAnsiTheme="majorBidi" w:cstheme="majorBidi"/>
          <w:i/>
          <w:iCs/>
          <w:sz w:val="24"/>
          <w:szCs w:val="24"/>
        </w:rPr>
        <w:t>5</w:t>
      </w:r>
      <w:r>
        <w:rPr>
          <w:rFonts w:asciiTheme="majorBidi" w:hAnsiTheme="majorBidi" w:cstheme="majorBidi"/>
          <w:sz w:val="24"/>
          <w:szCs w:val="24"/>
        </w:rPr>
        <w:t>(1), 46–56.</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Pertiwi, T. P., &amp; Saputra, A. (2020). Analisis Faktor-Faktor Mempengaruhi Kinerja Pegawai Pada Dinas Pendidikan Kabupaten Cirebon. </w:t>
      </w:r>
      <w:r>
        <w:rPr>
          <w:rFonts w:asciiTheme="majorBidi" w:hAnsiTheme="majorBidi" w:cstheme="majorBidi"/>
          <w:i/>
          <w:iCs/>
          <w:sz w:val="24"/>
          <w:szCs w:val="24"/>
        </w:rPr>
        <w:t>Syntax Literate; Jurnal Ilmiah Indonesia</w:t>
      </w:r>
      <w:r>
        <w:rPr>
          <w:rFonts w:asciiTheme="majorBidi" w:hAnsiTheme="majorBidi" w:cstheme="majorBidi"/>
          <w:sz w:val="24"/>
          <w:szCs w:val="24"/>
        </w:rPr>
        <w:t xml:space="preserve">, </w:t>
      </w:r>
      <w:r>
        <w:rPr>
          <w:rFonts w:asciiTheme="majorBidi" w:hAnsiTheme="majorBidi" w:cstheme="majorBidi"/>
          <w:i/>
          <w:iCs/>
          <w:sz w:val="24"/>
          <w:szCs w:val="24"/>
        </w:rPr>
        <w:t>5</w:t>
      </w:r>
      <w:r>
        <w:rPr>
          <w:rFonts w:asciiTheme="majorBidi" w:hAnsiTheme="majorBidi" w:cstheme="majorBidi"/>
          <w:sz w:val="24"/>
          <w:szCs w:val="24"/>
        </w:rPr>
        <w:t>(6), 202–208.</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Prabowo, A., &amp; Budiyanto, B. (2022). PENGARUH BUDAYA ORGANISASI, DISIPLIN KERJA DAN LINGKUNGAN KERJA TERHADAP KINERJA KARYAWAN PADA KANTOR PERTANAHAN KOTA SURABAYA 1. </w:t>
      </w:r>
      <w:r>
        <w:rPr>
          <w:rFonts w:asciiTheme="majorBidi" w:hAnsiTheme="majorBidi" w:cstheme="majorBidi"/>
          <w:i/>
          <w:iCs/>
          <w:sz w:val="24"/>
          <w:szCs w:val="24"/>
        </w:rPr>
        <w:t>Jurnal Ilmu Dan Riset Manajemen (JIRM)</w:t>
      </w:r>
      <w:r>
        <w:rPr>
          <w:rFonts w:asciiTheme="majorBidi" w:hAnsiTheme="majorBidi" w:cstheme="majorBidi"/>
          <w:sz w:val="24"/>
          <w:szCs w:val="24"/>
        </w:rPr>
        <w:t xml:space="preserve">, </w:t>
      </w:r>
      <w:r>
        <w:rPr>
          <w:rFonts w:asciiTheme="majorBidi" w:hAnsiTheme="majorBidi" w:cstheme="majorBidi"/>
          <w:i/>
          <w:iCs/>
          <w:sz w:val="24"/>
          <w:szCs w:val="24"/>
        </w:rPr>
        <w:t>11</w:t>
      </w:r>
      <w:r>
        <w:rPr>
          <w:rFonts w:asciiTheme="majorBidi" w:hAnsiTheme="majorBidi" w:cstheme="majorBidi"/>
          <w:sz w:val="24"/>
          <w:szCs w:val="24"/>
        </w:rPr>
        <w:t>(6).</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Ruliyansa, R. (2018). PENGARUH BUDAYA KERJA TERHADAP DISIPLIN KERJA PEGAWAI PADA KOPERASI ANUGERAH KITO MAKMUR JAYA (AKMJ) BELITANG OKU TIMUR. </w:t>
      </w:r>
      <w:r>
        <w:rPr>
          <w:rFonts w:asciiTheme="majorBidi" w:hAnsiTheme="majorBidi" w:cstheme="majorBidi"/>
          <w:i/>
          <w:iCs/>
          <w:sz w:val="24"/>
          <w:szCs w:val="24"/>
        </w:rPr>
        <w:t>Jurnal AKTUAL</w:t>
      </w:r>
      <w:r>
        <w:rPr>
          <w:rFonts w:asciiTheme="majorBidi" w:hAnsiTheme="majorBidi" w:cstheme="majorBidi"/>
          <w:sz w:val="24"/>
          <w:szCs w:val="24"/>
        </w:rPr>
        <w:t xml:space="preserve">, </w:t>
      </w:r>
      <w:r>
        <w:rPr>
          <w:rFonts w:asciiTheme="majorBidi" w:hAnsiTheme="majorBidi" w:cstheme="majorBidi"/>
          <w:i/>
          <w:iCs/>
          <w:sz w:val="24"/>
          <w:szCs w:val="24"/>
        </w:rPr>
        <w:t>16</w:t>
      </w:r>
      <w:r>
        <w:rPr>
          <w:rFonts w:asciiTheme="majorBidi" w:hAnsiTheme="majorBidi" w:cstheme="majorBidi"/>
          <w:sz w:val="24"/>
          <w:szCs w:val="24"/>
        </w:rPr>
        <w:t>(2), 82–91.</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Sari, D. P., Megawati, I., &amp; Heriyanto, I. (2020). Pengaruh Lingkungan Kerja Dan Disiplin Kerja Terhadap Kinerja Karyawan PT. Infomedia Nusantara Bagian Call Center Tele Account Management (TAM) Telkom Bandung. </w:t>
      </w:r>
      <w:r>
        <w:rPr>
          <w:rFonts w:asciiTheme="majorBidi" w:hAnsiTheme="majorBidi" w:cstheme="majorBidi"/>
          <w:i/>
          <w:iCs/>
          <w:sz w:val="24"/>
          <w:szCs w:val="24"/>
        </w:rPr>
        <w:t>Majalah Bisnis &amp; IPTEK</w:t>
      </w:r>
      <w:r>
        <w:rPr>
          <w:rFonts w:asciiTheme="majorBidi" w:hAnsiTheme="majorBidi" w:cstheme="majorBidi"/>
          <w:sz w:val="24"/>
          <w:szCs w:val="24"/>
        </w:rPr>
        <w:t xml:space="preserve">, </w:t>
      </w:r>
      <w:r>
        <w:rPr>
          <w:rFonts w:asciiTheme="majorBidi" w:hAnsiTheme="majorBidi" w:cstheme="majorBidi"/>
          <w:i/>
          <w:iCs/>
          <w:sz w:val="24"/>
          <w:szCs w:val="24"/>
        </w:rPr>
        <w:t>13</w:t>
      </w:r>
      <w:r>
        <w:rPr>
          <w:rFonts w:asciiTheme="majorBidi" w:hAnsiTheme="majorBidi" w:cstheme="majorBidi"/>
          <w:sz w:val="24"/>
          <w:szCs w:val="24"/>
        </w:rPr>
        <w:t>(1), 31–44.</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Sedarmayanti, S., &amp; Rahadian, N. (2018). Hubungan Budaya Kerja dan Lingkungan Kerja Terhadap Peningkatan Kinerja Pegawai Pada Lembaga Pendidikan Tinggi. </w:t>
      </w:r>
      <w:r>
        <w:rPr>
          <w:rFonts w:asciiTheme="majorBidi" w:hAnsiTheme="majorBidi" w:cstheme="majorBidi"/>
          <w:i/>
          <w:iCs/>
          <w:sz w:val="24"/>
          <w:szCs w:val="24"/>
        </w:rPr>
        <w:t>Jurnal Ilmu Administrasi: Media Pengembangan Ilmu Dan Praktek Administrasi</w:t>
      </w:r>
      <w:r>
        <w:rPr>
          <w:rFonts w:asciiTheme="majorBidi" w:hAnsiTheme="majorBidi" w:cstheme="majorBidi"/>
          <w:sz w:val="24"/>
          <w:szCs w:val="24"/>
        </w:rPr>
        <w:t xml:space="preserve">, </w:t>
      </w:r>
      <w:r>
        <w:rPr>
          <w:rFonts w:asciiTheme="majorBidi" w:hAnsiTheme="majorBidi" w:cstheme="majorBidi"/>
          <w:i/>
          <w:iCs/>
          <w:sz w:val="24"/>
          <w:szCs w:val="24"/>
        </w:rPr>
        <w:t>15</w:t>
      </w:r>
      <w:r>
        <w:rPr>
          <w:rFonts w:asciiTheme="majorBidi" w:hAnsiTheme="majorBidi" w:cstheme="majorBidi"/>
          <w:sz w:val="24"/>
          <w:szCs w:val="24"/>
        </w:rPr>
        <w:t>(1), 63–77.</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Sherlie, S., &amp; Hikmah, H. (2020). PENGARUH MOTIVASI, DISIPLIN KERJA DAN KOMPENSASI TERHADAP KINERJA KARYAWAN PADA PT BENWIN INDONESIA DI KOTA BATAM. </w:t>
      </w:r>
      <w:r>
        <w:rPr>
          <w:rFonts w:asciiTheme="majorBidi" w:hAnsiTheme="majorBidi" w:cstheme="majorBidi"/>
          <w:i/>
          <w:iCs/>
          <w:sz w:val="24"/>
          <w:szCs w:val="24"/>
        </w:rPr>
        <w:t>MOTIVASI: Jurnal Manajemen Dan Bisnis</w:t>
      </w:r>
      <w:r>
        <w:rPr>
          <w:rFonts w:asciiTheme="majorBidi" w:hAnsiTheme="majorBidi" w:cstheme="majorBidi"/>
          <w:sz w:val="24"/>
          <w:szCs w:val="24"/>
        </w:rPr>
        <w:t xml:space="preserve">, </w:t>
      </w:r>
      <w:r>
        <w:rPr>
          <w:rFonts w:asciiTheme="majorBidi" w:hAnsiTheme="majorBidi" w:cstheme="majorBidi"/>
          <w:i/>
          <w:iCs/>
          <w:sz w:val="24"/>
          <w:szCs w:val="24"/>
        </w:rPr>
        <w:t>5</w:t>
      </w:r>
      <w:r>
        <w:rPr>
          <w:rFonts w:asciiTheme="majorBidi" w:hAnsiTheme="majorBidi" w:cstheme="majorBidi"/>
          <w:sz w:val="24"/>
          <w:szCs w:val="24"/>
        </w:rPr>
        <w:t>(1), 756–765.</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Sugiyono, P. (2019). Metode Penelitian Kuantitatif Kualitatif dan R&amp;D (D. Sutopo. S. Pd, MT, Ir. </w:t>
      </w:r>
      <w:r>
        <w:rPr>
          <w:rFonts w:asciiTheme="majorBidi" w:hAnsiTheme="majorBidi" w:cstheme="majorBidi"/>
          <w:i/>
          <w:iCs/>
          <w:sz w:val="24"/>
          <w:szCs w:val="24"/>
        </w:rPr>
        <w:t>Bandung: Alfabeta</w:t>
      </w:r>
      <w:r>
        <w:rPr>
          <w:rFonts w:asciiTheme="majorBidi" w:hAnsiTheme="majorBidi" w:cstheme="majorBidi"/>
          <w:sz w:val="24"/>
          <w:szCs w:val="24"/>
        </w:rPr>
        <w:t>.</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Suwanto, S. (2019). Pengaruh disiplin kerja dan motivasi kerja terhadap kinerja karyawan pada Rumah Sakit Umum Tangerang Selatan. </w:t>
      </w:r>
      <w:r>
        <w:rPr>
          <w:rFonts w:asciiTheme="majorBidi" w:hAnsiTheme="majorBidi" w:cstheme="majorBidi"/>
          <w:i/>
          <w:iCs/>
          <w:sz w:val="24"/>
          <w:szCs w:val="24"/>
        </w:rPr>
        <w:t>JENIUS (Jurnal Ilmiah Manajemen Sumber Daya Manusia)</w:t>
      </w:r>
      <w:r>
        <w:rPr>
          <w:rFonts w:asciiTheme="majorBidi" w:hAnsiTheme="majorBidi" w:cstheme="majorBidi"/>
          <w:sz w:val="24"/>
          <w:szCs w:val="24"/>
        </w:rPr>
        <w:t xml:space="preserve">, </w:t>
      </w:r>
      <w:r>
        <w:rPr>
          <w:rFonts w:asciiTheme="majorBidi" w:hAnsiTheme="majorBidi" w:cstheme="majorBidi"/>
          <w:i/>
          <w:iCs/>
          <w:sz w:val="24"/>
          <w:szCs w:val="24"/>
        </w:rPr>
        <w:t>3</w:t>
      </w:r>
      <w:r>
        <w:rPr>
          <w:rFonts w:asciiTheme="majorBidi" w:hAnsiTheme="majorBidi" w:cstheme="majorBidi"/>
          <w:sz w:val="24"/>
          <w:szCs w:val="24"/>
        </w:rPr>
        <w:t>(1), 16–23.</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Tampubolon, S. H., &amp; Safaria, S. (2021). PENGARUH MOTIVASI, GAYA KEPEMIMPINAN DAN DISIPLIN KERJA TERHADAP KINERJA KARYAWAN PADA PT ASURANSI JIWA MANULIFE INDONESIA. </w:t>
      </w:r>
      <w:r>
        <w:rPr>
          <w:rFonts w:asciiTheme="majorBidi" w:hAnsiTheme="majorBidi" w:cstheme="majorBidi"/>
          <w:i/>
          <w:iCs/>
          <w:sz w:val="24"/>
          <w:szCs w:val="24"/>
        </w:rPr>
        <w:t>Prosiding Seminar Nasional</w:t>
      </w:r>
      <w:r>
        <w:rPr>
          <w:rFonts w:asciiTheme="majorBidi" w:hAnsiTheme="majorBidi" w:cstheme="majorBidi"/>
          <w:sz w:val="24"/>
          <w:szCs w:val="24"/>
        </w:rPr>
        <w:t xml:space="preserve">, </w:t>
      </w:r>
      <w:r>
        <w:rPr>
          <w:rFonts w:asciiTheme="majorBidi" w:hAnsiTheme="majorBidi" w:cstheme="majorBidi"/>
          <w:i/>
          <w:iCs/>
          <w:sz w:val="24"/>
          <w:szCs w:val="24"/>
        </w:rPr>
        <w:t>1</w:t>
      </w:r>
      <w:r>
        <w:rPr>
          <w:rFonts w:asciiTheme="majorBidi" w:hAnsiTheme="majorBidi" w:cstheme="majorBidi"/>
          <w:sz w:val="24"/>
          <w:szCs w:val="24"/>
        </w:rPr>
        <w:t>(1), 151–157.</w:t>
      </w:r>
    </w:p>
    <w:p>
      <w:pPr>
        <w:pStyle w:val="34"/>
        <w:adjustRightInd w:val="0"/>
        <w:spacing w:before="120" w:after="0" w:line="240" w:lineRule="auto"/>
        <w:ind w:left="567" w:hanging="568" w:hangingChars="237"/>
        <w:contextualSpacing w:val="0"/>
        <w:jc w:val="both"/>
        <w:rPr>
          <w:rFonts w:asciiTheme="majorBidi" w:hAnsiTheme="majorBidi" w:cstheme="majorBidi"/>
          <w:sz w:val="24"/>
          <w:szCs w:val="24"/>
        </w:rPr>
      </w:pPr>
      <w:r>
        <w:rPr>
          <w:rFonts w:asciiTheme="majorBidi" w:hAnsiTheme="majorBidi" w:cstheme="majorBidi"/>
          <w:sz w:val="24"/>
          <w:szCs w:val="24"/>
        </w:rPr>
        <w:t xml:space="preserve">Wijono, S. (2018). </w:t>
      </w:r>
      <w:r>
        <w:rPr>
          <w:rFonts w:asciiTheme="majorBidi" w:hAnsiTheme="majorBidi" w:cstheme="majorBidi"/>
          <w:i/>
          <w:iCs/>
          <w:sz w:val="24"/>
          <w:szCs w:val="24"/>
        </w:rPr>
        <w:t>Kepemimpinan dalam perspektif organisasi</w:t>
      </w:r>
      <w:r>
        <w:rPr>
          <w:rFonts w:asciiTheme="majorBidi" w:hAnsiTheme="majorBidi" w:cstheme="majorBidi"/>
          <w:sz w:val="24"/>
          <w:szCs w:val="24"/>
        </w:rPr>
        <w:t>. Kencana.</w:t>
      </w:r>
    </w:p>
    <w:p>
      <w:pPr>
        <w:pStyle w:val="11"/>
        <w:shd w:val="clear" w:color="auto" w:fill="FFFFFF"/>
        <w:spacing w:before="120" w:after="0" w:line="240" w:lineRule="auto"/>
        <w:ind w:left="567" w:right="-71" w:hanging="568" w:hangingChars="237"/>
        <w:jc w:val="both"/>
        <w:rPr>
          <w:rFonts w:asciiTheme="majorBidi" w:hAnsiTheme="majorBidi" w:cstheme="majorBidi"/>
        </w:rPr>
      </w:pPr>
      <w:r>
        <w:rPr>
          <w:rFonts w:asciiTheme="majorBidi" w:hAnsiTheme="majorBidi" w:cstheme="majorBidi"/>
        </w:rPr>
        <w:fldChar w:fldCharType="end"/>
      </w:r>
      <w:r>
        <w:fldChar w:fldCharType="begin"/>
      </w:r>
      <w:r>
        <w:instrText xml:space="preserve"> HYPERLINK "https://metrologi.kemendag.go.id" </w:instrText>
      </w:r>
      <w:r>
        <w:fldChar w:fldCharType="separate"/>
      </w:r>
      <w:r>
        <w:rPr>
          <w:rStyle w:val="19"/>
          <w:rFonts w:asciiTheme="majorBidi" w:hAnsiTheme="majorBidi" w:cstheme="majorBidi"/>
          <w:lang w:val="zh-CN"/>
        </w:rPr>
        <w:t>https://metrologi.kemendag.go.id</w:t>
      </w:r>
      <w:r>
        <w:rPr>
          <w:rStyle w:val="19"/>
          <w:rFonts w:asciiTheme="majorBidi" w:hAnsiTheme="majorBidi" w:cstheme="majorBidi"/>
          <w:lang w:val="zh-CN"/>
        </w:rPr>
        <w:fldChar w:fldCharType="end"/>
      </w:r>
    </w:p>
    <w:p>
      <w:pPr>
        <w:ind w:left="0" w:hanging="2"/>
      </w:pPr>
    </w:p>
    <w:sectPr>
      <w:headerReference r:id="rId7" w:type="first"/>
      <w:footerReference r:id="rId10" w:type="first"/>
      <w:headerReference r:id="rId5" w:type="default"/>
      <w:footerReference r:id="rId8" w:type="default"/>
      <w:headerReference r:id="rId6" w:type="even"/>
      <w:footerReference r:id="rId9" w:type="even"/>
      <w:pgSz w:w="11907" w:h="16839"/>
      <w:pgMar w:top="1701" w:right="1701" w:bottom="1701" w:left="1701" w:header="720" w:footer="737"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Palatino Linotype">
    <w:panose1 w:val="02040502050505030304"/>
    <w:charset w:val="00"/>
    <w:family w:val="roman"/>
    <w:pitch w:val="default"/>
    <w:sig w:usb0="E0000287" w:usb1="40000013" w:usb2="00000000" w:usb3="00000000" w:csb0="2000019F" w:csb1="00000000"/>
  </w:font>
  <w:font w:name="Arno Pro">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color w:val="000000"/>
      </w:rPr>
    </w:pPr>
    <w:r>
      <w:rPr>
        <w:color w:val="000000"/>
      </w:rPr>
      <w:tab/>
    </w:r>
    <w:r>
      <w:rPr>
        <w:color w:val="000000"/>
      </w:rPr>
      <w:fldChar w:fldCharType="begin"/>
    </w:r>
    <w:r>
      <w:rPr>
        <w:color w:val="000000"/>
      </w:rPr>
      <w:instrText xml:space="preserve">PAGE</w:instrText>
    </w:r>
    <w:r>
      <w:rPr>
        <w:color w:val="000000"/>
      </w:rPr>
      <w:fldChar w:fldCharType="separate"/>
    </w:r>
    <w:r>
      <w:rPr>
        <w:color w:val="000000"/>
      </w:rPr>
      <w:t>5</w: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tabs>
        <w:tab w:val="right" w:pos="8505"/>
      </w:tabs>
      <w:spacing w:line="240" w:lineRule="auto"/>
      <w:ind w:left="0" w:hanging="2"/>
      <w:rPr>
        <w:color w:val="000000"/>
      </w:rPr>
    </w:pPr>
    <w:r>
      <w:rPr>
        <w:color w:val="000000"/>
      </w:rPr>
      <w:fldChar w:fldCharType="begin"/>
    </w:r>
    <w:r>
      <w:rPr>
        <w:color w:val="000000"/>
      </w:rPr>
      <w:instrText xml:space="preserve">PAGE</w:instrText>
    </w:r>
    <w:r>
      <w:rPr>
        <w:color w:val="000000"/>
      </w:rPr>
      <w:fldChar w:fldCharType="separate"/>
    </w:r>
    <w:r>
      <w:rPr>
        <w:color w:val="000000"/>
      </w:rPr>
      <w:t>4</w:t>
    </w:r>
    <w:r>
      <w:rPr>
        <w:color w:val="000000"/>
      </w:rPr>
      <w:fldChar w:fldCharType="end"/>
    </w:r>
    <w:r>
      <w:rPr>
        <w:i/>
        <w:color w:val="000000"/>
      </w:rPr>
      <w:t xml:space="preserve"> </w:t>
    </w:r>
    <w:r>
      <w:rPr>
        <w:i/>
        <w:color w:val="00000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0"/>
        <w:left w:val="none" w:color="auto" w:sz="0" w:space="0"/>
        <w:bottom w:val="none" w:color="auto" w:sz="0" w:space="0"/>
        <w:right w:val="none" w:color="auto" w:sz="0" w:space="0"/>
        <w:between w:val="none" w:color="auto" w:sz="0" w:space="0"/>
      </w:pBdr>
      <w:spacing w:line="276" w:lineRule="auto"/>
      <w:ind w:left="0" w:hanging="2"/>
      <w:rPr>
        <w:color w:val="000000"/>
      </w:rPr>
    </w:pPr>
  </w:p>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left="-2" w:hanging="2"/>
      </w:pPr>
      <w:r>
        <w:separator/>
      </w:r>
    </w:p>
  </w:footnote>
  <w:footnote w:type="continuationSeparator" w:id="1">
    <w:p>
      <w:pPr>
        <w:spacing w:line="240" w:lineRule="auto"/>
        <w:ind w:left="-2"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000000" w:sz="0" w:space="0"/>
        <w:right w:val="none" w:color="auto" w:sz="0" w:space="0"/>
        <w:between w:val="none" w:color="auto" w:sz="0" w:space="0"/>
      </w:pBdr>
      <w:spacing w:line="240" w:lineRule="auto"/>
      <w:ind w:left="0" w:hanging="2"/>
      <w:jc w:val="right"/>
      <w:rPr>
        <w:bCs/>
      </w:rPr>
    </w:pPr>
    <w:r>
      <w:rPr>
        <w:bCs/>
        <w:lang w:val="en-US"/>
      </w:rPr>
      <w:t xml:space="preserve">Kinerja Pegawai Ditinjau Dari Kepemimpinan, Budaya Kerja Dan Lingkungan Kerja </w:t>
    </w:r>
  </w:p>
  <w:p>
    <w:pPr>
      <w:pBdr>
        <w:top w:val="none" w:color="auto" w:sz="0" w:space="0"/>
        <w:left w:val="none" w:color="auto" w:sz="0" w:space="0"/>
        <w:bottom w:val="none" w:color="000000" w:sz="0" w:space="0"/>
        <w:right w:val="none" w:color="auto" w:sz="0" w:space="0"/>
        <w:between w:val="none" w:color="auto" w:sz="0" w:space="0"/>
      </w:pBdr>
      <w:spacing w:line="240" w:lineRule="auto"/>
      <w:ind w:left="0" w:hanging="2"/>
      <w:jc w:val="right"/>
      <w:rPr>
        <w:bCs/>
        <w:color w:val="000000"/>
      </w:rPr>
    </w:pPr>
    <w:r>
      <w:rPr>
        <w:bCs/>
        <w:lang w:val="en-US"/>
      </w:rPr>
      <w:t>Di Kantor UPT Metrologi Legal Dinas Perdagangan Kota Suraka</w:t>
    </w:r>
    <w:r>
      <w:rPr>
        <w:bCs/>
      </w:rPr>
      <w:t>r</w:t>
    </w:r>
    <w:r>
      <w:rPr>
        <w:bCs/>
        <w:lang w:val="en-US"/>
      </w:rPr>
      <w:t>ta</w:t>
    </w:r>
  </w:p>
  <w:p>
    <w:pPr>
      <w:pStyle w:val="16"/>
      <w:ind w:left="0" w:hanging="2"/>
      <w:jc w:val="center"/>
      <w:rPr>
        <w:rFonts w:eastAsia="Calibri"/>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0"/>
        <w:left w:val="none" w:color="auto" w:sz="0" w:space="0"/>
        <w:bottom w:val="none" w:color="auto" w:sz="0" w:space="0"/>
        <w:right w:val="none" w:color="auto" w:sz="0" w:space="0"/>
        <w:between w:val="none" w:color="auto" w:sz="0" w:space="0"/>
      </w:pBdr>
      <w:spacing w:line="240" w:lineRule="auto"/>
      <w:ind w:left="0" w:hanging="2"/>
      <w:rPr>
        <w:rFonts w:ascii="Calibri" w:hAnsi="Calibri" w:eastAsia="Calibri" w:cs="Calibri"/>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upperLetter"/>
      <w:lvlText w:val="%1."/>
      <w:lvlJc w:val="left"/>
      <w:pPr>
        <w:ind w:left="1723" w:hanging="567"/>
        <w:jc w:val="right"/>
      </w:pPr>
      <w:rPr>
        <w:rFonts w:hint="default" w:ascii="Times New Roman" w:hAnsi="Times New Roman" w:eastAsia="Times New Roman" w:cs="Times New Roman"/>
        <w:b/>
        <w:bCs/>
        <w:spacing w:val="-1"/>
        <w:w w:val="99"/>
        <w:sz w:val="24"/>
        <w:szCs w:val="24"/>
        <w:lang w:eastAsia="en-US" w:bidi="ar-SA"/>
      </w:rPr>
    </w:lvl>
    <w:lvl w:ilvl="1" w:tentative="0">
      <w:start w:val="1"/>
      <w:numFmt w:val="decimal"/>
      <w:lvlText w:val="%2."/>
      <w:lvlJc w:val="left"/>
      <w:pPr>
        <w:ind w:left="2160" w:hanging="305"/>
      </w:pPr>
      <w:rPr>
        <w:rFonts w:hint="default" w:ascii="Times New Roman" w:hAnsi="Times New Roman" w:eastAsia="Times New Roman" w:cs="Times New Roman"/>
        <w:spacing w:val="-2"/>
        <w:w w:val="99"/>
        <w:sz w:val="24"/>
        <w:szCs w:val="24"/>
        <w:lang w:eastAsia="en-US" w:bidi="ar-SA"/>
      </w:rPr>
    </w:lvl>
    <w:lvl w:ilvl="2" w:tentative="0">
      <w:start w:val="1"/>
      <w:numFmt w:val="lowerLetter"/>
      <w:lvlText w:val="%3."/>
      <w:lvlJc w:val="left"/>
      <w:pPr>
        <w:ind w:left="2899" w:hanging="202"/>
      </w:pPr>
      <w:rPr>
        <w:rFonts w:hint="default"/>
        <w:w w:val="99"/>
        <w:lang w:eastAsia="en-US" w:bidi="ar-SA"/>
      </w:rPr>
    </w:lvl>
    <w:lvl w:ilvl="3" w:tentative="0">
      <w:start w:val="1"/>
      <w:numFmt w:val="bullet"/>
      <w:lvlText w:val="•"/>
      <w:lvlJc w:val="left"/>
      <w:pPr>
        <w:ind w:left="2720" w:hanging="202"/>
      </w:pPr>
      <w:rPr>
        <w:rFonts w:hint="default"/>
        <w:lang w:eastAsia="en-US" w:bidi="ar-SA"/>
      </w:rPr>
    </w:lvl>
    <w:lvl w:ilvl="4" w:tentative="0">
      <w:start w:val="1"/>
      <w:numFmt w:val="bullet"/>
      <w:lvlText w:val="•"/>
      <w:lvlJc w:val="left"/>
      <w:pPr>
        <w:ind w:left="2900" w:hanging="202"/>
      </w:pPr>
      <w:rPr>
        <w:rFonts w:hint="default"/>
        <w:lang w:eastAsia="en-US" w:bidi="ar-SA"/>
      </w:rPr>
    </w:lvl>
    <w:lvl w:ilvl="5" w:tentative="0">
      <w:start w:val="1"/>
      <w:numFmt w:val="bullet"/>
      <w:lvlText w:val="•"/>
      <w:lvlJc w:val="left"/>
      <w:pPr>
        <w:ind w:left="4391" w:hanging="202"/>
      </w:pPr>
      <w:rPr>
        <w:rFonts w:hint="default"/>
        <w:lang w:eastAsia="en-US" w:bidi="ar-SA"/>
      </w:rPr>
    </w:lvl>
    <w:lvl w:ilvl="6" w:tentative="0">
      <w:start w:val="1"/>
      <w:numFmt w:val="bullet"/>
      <w:lvlText w:val="•"/>
      <w:lvlJc w:val="left"/>
      <w:pPr>
        <w:ind w:left="5882" w:hanging="202"/>
      </w:pPr>
      <w:rPr>
        <w:rFonts w:hint="default"/>
        <w:lang w:eastAsia="en-US" w:bidi="ar-SA"/>
      </w:rPr>
    </w:lvl>
    <w:lvl w:ilvl="7" w:tentative="0">
      <w:start w:val="1"/>
      <w:numFmt w:val="bullet"/>
      <w:lvlText w:val="•"/>
      <w:lvlJc w:val="left"/>
      <w:pPr>
        <w:ind w:left="7373" w:hanging="202"/>
      </w:pPr>
      <w:rPr>
        <w:rFonts w:hint="default"/>
        <w:lang w:eastAsia="en-US" w:bidi="ar-SA"/>
      </w:rPr>
    </w:lvl>
    <w:lvl w:ilvl="8" w:tentative="0">
      <w:start w:val="1"/>
      <w:numFmt w:val="bullet"/>
      <w:lvlText w:val="•"/>
      <w:lvlJc w:val="left"/>
      <w:pPr>
        <w:ind w:left="8864" w:hanging="202"/>
      </w:pPr>
      <w:rPr>
        <w:rFonts w:hint="default"/>
        <w:lang w:eastAsia="en-US" w:bidi="ar-SA"/>
      </w:rPr>
    </w:lvl>
  </w:abstractNum>
  <w:abstractNum w:abstractNumId="1">
    <w:nsid w:val="00000008"/>
    <w:multiLevelType w:val="multilevel"/>
    <w:tmpl w:val="00000008"/>
    <w:lvl w:ilvl="0" w:tentative="0">
      <w:start w:val="1"/>
      <w:numFmt w:val="decimal"/>
      <w:lvlText w:val="%1."/>
      <w:lvlJc w:val="left"/>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ocumentProtection w:enforcement="0"/>
  <w:defaultTabStop w:val="720"/>
  <w:evenAndOddHeaders w:val="1"/>
  <w:characterSpacingControl w:val="doNotCompress"/>
  <w:footnotePr>
    <w:footnote w:id="0"/>
    <w:footnote w:id="1"/>
  </w:footnotePr>
  <w:endnotePr>
    <w:endnote w:id="0"/>
    <w:endnote w:id="1"/>
  </w:endnotePr>
  <w:compat>
    <w:compatSetting w:name="compatibilityMode" w:uri="http://schemas.microsoft.com/office/word" w:val="14"/>
  </w:compat>
  <w:rsids>
    <w:rsidRoot w:val="00025EEF"/>
    <w:rsid w:val="00025EEF"/>
    <w:rsid w:val="00033C2A"/>
    <w:rsid w:val="00034BD7"/>
    <w:rsid w:val="00094303"/>
    <w:rsid w:val="001A1BE0"/>
    <w:rsid w:val="001A4017"/>
    <w:rsid w:val="002905B0"/>
    <w:rsid w:val="00315C47"/>
    <w:rsid w:val="003B0D49"/>
    <w:rsid w:val="003D4D51"/>
    <w:rsid w:val="003D619E"/>
    <w:rsid w:val="00415C7E"/>
    <w:rsid w:val="00560FFC"/>
    <w:rsid w:val="005B22F4"/>
    <w:rsid w:val="00655A5D"/>
    <w:rsid w:val="007A5C5B"/>
    <w:rsid w:val="00811CB6"/>
    <w:rsid w:val="00882E01"/>
    <w:rsid w:val="008B0324"/>
    <w:rsid w:val="008C4BD1"/>
    <w:rsid w:val="00913391"/>
    <w:rsid w:val="00945F34"/>
    <w:rsid w:val="009B0261"/>
    <w:rsid w:val="009D4C47"/>
    <w:rsid w:val="00A13662"/>
    <w:rsid w:val="00A1493A"/>
    <w:rsid w:val="00B0390F"/>
    <w:rsid w:val="00BF7D94"/>
    <w:rsid w:val="00C42D57"/>
    <w:rsid w:val="00C549F6"/>
    <w:rsid w:val="00C73CD3"/>
    <w:rsid w:val="00C77F62"/>
    <w:rsid w:val="00C80FAF"/>
    <w:rsid w:val="00D726D7"/>
    <w:rsid w:val="00D75F79"/>
    <w:rsid w:val="00E0158E"/>
    <w:rsid w:val="00E16E1F"/>
    <w:rsid w:val="00E917F7"/>
    <w:rsid w:val="00EC4489"/>
    <w:rsid w:val="00EC69A3"/>
    <w:rsid w:val="00F046B8"/>
    <w:rsid w:val="00FD7C7B"/>
    <w:rsid w:val="64EE0590"/>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unhideWhenUsed="0"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uppressAutoHyphens/>
      <w:spacing w:line="1" w:lineRule="atLeast"/>
      <w:ind w:left="-1" w:leftChars="-1" w:hanging="1" w:hangingChars="1"/>
      <w:textAlignment w:val="top"/>
      <w:outlineLvl w:val="0"/>
    </w:pPr>
    <w:rPr>
      <w:rFonts w:ascii="Times New Roman" w:hAnsi="Times New Roman" w:eastAsia="Times New Roman" w:cs="Times New Roman"/>
      <w:position w:val="-1"/>
      <w:sz w:val="24"/>
      <w:szCs w:val="24"/>
      <w:lang w:val="id-ID" w:eastAsia="en-US" w:bidi="ar-SA"/>
    </w:rPr>
  </w:style>
  <w:style w:type="paragraph" w:styleId="2">
    <w:name w:val="heading 1"/>
    <w:basedOn w:val="1"/>
    <w:next w:val="1"/>
    <w:uiPriority w:val="0"/>
    <w:pPr>
      <w:keepNext/>
      <w:suppressAutoHyphens w:val="0"/>
      <w:jc w:val="both"/>
    </w:pPr>
    <w:rPr>
      <w:b/>
      <w:sz w:val="20"/>
      <w:szCs w:val="20"/>
      <w:lang w:eastAsia="ar-SA"/>
    </w:rPr>
  </w:style>
  <w:style w:type="paragraph" w:styleId="3">
    <w:name w:val="heading 2"/>
    <w:basedOn w:val="1"/>
    <w:next w:val="1"/>
    <w:uiPriority w:val="0"/>
    <w:pPr>
      <w:keepNext/>
      <w:suppressAutoHyphens w:val="0"/>
      <w:jc w:val="both"/>
      <w:outlineLvl w:val="1"/>
    </w:pPr>
    <w:rPr>
      <w:szCs w:val="20"/>
      <w:lang w:eastAsia="ar-SA"/>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uiPriority w:val="0"/>
    <w:pPr>
      <w:keepNext/>
      <w:keepLines/>
      <w:spacing w:before="240" w:after="40"/>
      <w:outlineLvl w:val="3"/>
    </w:pPr>
    <w:rPr>
      <w:b/>
    </w:rPr>
  </w:style>
  <w:style w:type="paragraph" w:styleId="6">
    <w:name w:val="heading 5"/>
    <w:basedOn w:val="1"/>
    <w:next w:val="1"/>
    <w:uiPriority w:val="0"/>
    <w:pPr>
      <w:keepNext/>
      <w:keepLines/>
      <w:spacing w:before="220" w:after="40"/>
      <w:outlineLvl w:val="4"/>
    </w:pPr>
    <w:rPr>
      <w:b/>
      <w:sz w:val="22"/>
      <w:szCs w:val="22"/>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qFormat/>
    <w:uiPriority w:val="0"/>
    <w:rPr>
      <w:rFonts w:ascii="Tahoma" w:hAnsi="Tahoma" w:cs="Tahoma"/>
      <w:sz w:val="16"/>
      <w:szCs w:val="16"/>
    </w:rPr>
  </w:style>
  <w:style w:type="paragraph" w:styleId="11">
    <w:name w:val="Body Text"/>
    <w:basedOn w:val="1"/>
    <w:link w:val="55"/>
    <w:semiHidden/>
    <w:unhideWhenUsed/>
    <w:uiPriority w:val="99"/>
    <w:pPr>
      <w:spacing w:after="120"/>
    </w:pPr>
  </w:style>
  <w:style w:type="paragraph" w:styleId="12">
    <w:name w:val="Body Text Indent"/>
    <w:basedOn w:val="1"/>
    <w:uiPriority w:val="0"/>
    <w:pPr>
      <w:suppressAutoHyphens w:val="0"/>
      <w:ind w:firstLine="567"/>
      <w:jc w:val="both"/>
    </w:pPr>
    <w:rPr>
      <w:sz w:val="20"/>
      <w:szCs w:val="20"/>
      <w:lang w:eastAsia="ar-SA"/>
    </w:rPr>
  </w:style>
  <w:style w:type="character" w:styleId="13">
    <w:name w:val="Emphasis"/>
    <w:basedOn w:val="8"/>
    <w:qFormat/>
    <w:uiPriority w:val="20"/>
    <w:rPr>
      <w:i/>
      <w:iCs/>
    </w:rPr>
  </w:style>
  <w:style w:type="paragraph" w:styleId="14">
    <w:name w:val="footer"/>
    <w:basedOn w:val="1"/>
    <w:qFormat/>
    <w:uiPriority w:val="0"/>
  </w:style>
  <w:style w:type="character" w:styleId="15">
    <w:name w:val="footnote reference"/>
    <w:basedOn w:val="8"/>
    <w:uiPriority w:val="99"/>
    <w:rPr>
      <w:vertAlign w:val="superscript"/>
    </w:rPr>
  </w:style>
  <w:style w:type="paragraph" w:styleId="16">
    <w:name w:val="header"/>
    <w:basedOn w:val="1"/>
    <w:qFormat/>
    <w:uiPriority w:val="0"/>
    <w:rPr>
      <w:rFonts w:ascii="Calibri" w:hAnsi="Calibri"/>
      <w:sz w:val="22"/>
      <w:szCs w:val="22"/>
    </w:rPr>
  </w:style>
  <w:style w:type="character" w:styleId="17">
    <w:name w:val="HTML Cite"/>
    <w:qFormat/>
    <w:uiPriority w:val="0"/>
    <w:rPr>
      <w:i/>
      <w:iCs/>
      <w:w w:val="100"/>
      <w:position w:val="-1"/>
      <w:vertAlign w:val="baseline"/>
      <w:cs w:val="0"/>
    </w:rPr>
  </w:style>
  <w:style w:type="paragraph" w:styleId="18">
    <w:name w:val="HTML Preformatted"/>
    <w:basedOn w:val="1"/>
    <w:link w:val="52"/>
    <w:uiPriority w:val="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line="240" w:lineRule="auto"/>
      <w:ind w:left="0" w:leftChars="0" w:firstLine="0" w:firstLineChars="0"/>
      <w:textAlignment w:val="auto"/>
      <w:outlineLvl w:val="9"/>
    </w:pPr>
    <w:rPr>
      <w:rFonts w:ascii="Courier New" w:hAnsi="Courier New" w:cs="Courier New"/>
      <w:position w:val="0"/>
      <w:sz w:val="20"/>
      <w:szCs w:val="20"/>
      <w:lang w:val="en-US"/>
    </w:rPr>
  </w:style>
  <w:style w:type="character" w:styleId="19">
    <w:name w:val="Hyperlink"/>
    <w:qFormat/>
    <w:uiPriority w:val="0"/>
    <w:rPr>
      <w:color w:val="0000FF"/>
      <w:w w:val="100"/>
      <w:position w:val="-1"/>
      <w:u w:val="single"/>
      <w:vertAlign w:val="baseline"/>
      <w:cs w:val="0"/>
    </w:rPr>
  </w:style>
  <w:style w:type="paragraph" w:styleId="20">
    <w:name w:val="Normal (Web)"/>
    <w:basedOn w:val="1"/>
    <w:uiPriority w:val="0"/>
    <w:pPr>
      <w:spacing w:before="100" w:beforeAutospacing="1" w:after="119"/>
    </w:pPr>
  </w:style>
  <w:style w:type="paragraph" w:styleId="21">
    <w:name w:val="Subtitle"/>
    <w:basedOn w:val="1"/>
    <w:next w:val="1"/>
    <w:uiPriority w:val="0"/>
    <w:pPr>
      <w:keepNext/>
      <w:keepLines/>
      <w:spacing w:before="360" w:after="80"/>
    </w:pPr>
    <w:rPr>
      <w:rFonts w:ascii="Georgia" w:hAnsi="Georgia" w:eastAsia="Georgia" w:cs="Georgia"/>
      <w:i/>
      <w:color w:val="666666"/>
      <w:sz w:val="48"/>
      <w:szCs w:val="48"/>
    </w:rPr>
  </w:style>
  <w:style w:type="table" w:styleId="22">
    <w:name w:val="Table Grid"/>
    <w:basedOn w:val="9"/>
    <w:qFormat/>
    <w:uiPriority w:val="59"/>
    <w:pPr>
      <w:suppressAutoHyphens/>
      <w:spacing w:line="1" w:lineRule="atLeast"/>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uiPriority w:val="0"/>
    <w:pPr>
      <w:pBdr>
        <w:bottom w:val="single" w:color="4F81BD" w:sz="8" w:space="4"/>
      </w:pBdr>
      <w:spacing w:after="300"/>
      <w:contextualSpacing/>
    </w:pPr>
    <w:rPr>
      <w:rFonts w:ascii="Cambria" w:hAnsi="Cambria"/>
      <w:color w:val="17365D"/>
      <w:spacing w:val="5"/>
      <w:kern w:val="28"/>
      <w:sz w:val="52"/>
      <w:szCs w:val="52"/>
    </w:rPr>
  </w:style>
  <w:style w:type="character" w:customStyle="1" w:styleId="24">
    <w:name w:val="Heading 1 Char"/>
    <w:uiPriority w:val="0"/>
    <w:rPr>
      <w:rFonts w:ascii="Times New Roman" w:hAnsi="Times New Roman" w:eastAsia="Times New Roman" w:cs="Times New Roman"/>
      <w:b/>
      <w:w w:val="100"/>
      <w:position w:val="-1"/>
      <w:sz w:val="20"/>
      <w:szCs w:val="20"/>
      <w:vertAlign w:val="baseline"/>
      <w:cs w:val="0"/>
      <w:lang w:eastAsia="ar-SA"/>
    </w:rPr>
  </w:style>
  <w:style w:type="character" w:customStyle="1" w:styleId="25">
    <w:name w:val="Heading 2 Char"/>
    <w:uiPriority w:val="0"/>
    <w:rPr>
      <w:rFonts w:ascii="Times New Roman" w:hAnsi="Times New Roman" w:eastAsia="Times New Roman" w:cs="Times New Roman"/>
      <w:w w:val="100"/>
      <w:position w:val="-1"/>
      <w:sz w:val="24"/>
      <w:szCs w:val="20"/>
      <w:vertAlign w:val="baseline"/>
      <w:cs w:val="0"/>
      <w:lang w:eastAsia="ar-SA"/>
    </w:rPr>
  </w:style>
  <w:style w:type="character" w:customStyle="1" w:styleId="26">
    <w:name w:val="Body Text Indent Char"/>
    <w:uiPriority w:val="0"/>
    <w:rPr>
      <w:rFonts w:ascii="Times New Roman" w:hAnsi="Times New Roman" w:eastAsia="Times New Roman" w:cs="Times New Roman"/>
      <w:w w:val="100"/>
      <w:position w:val="-1"/>
      <w:sz w:val="20"/>
      <w:szCs w:val="20"/>
      <w:vertAlign w:val="baseline"/>
      <w:cs w:val="0"/>
      <w:lang w:eastAsia="ar-SA"/>
    </w:rPr>
  </w:style>
  <w:style w:type="paragraph" w:customStyle="1" w:styleId="27">
    <w:name w:val="Body"/>
    <w:basedOn w:val="12"/>
    <w:uiPriority w:val="0"/>
  </w:style>
  <w:style w:type="paragraph" w:customStyle="1" w:styleId="28">
    <w:name w:val="Body Abstract"/>
    <w:basedOn w:val="2"/>
    <w:uiPriority w:val="0"/>
    <w:pPr>
      <w:ind w:left="567" w:right="567"/>
      <w:outlineLvl w:val="9"/>
    </w:pPr>
    <w:rPr>
      <w:b w:val="0"/>
      <w:i/>
    </w:rPr>
  </w:style>
  <w:style w:type="paragraph" w:customStyle="1" w:styleId="29">
    <w:name w:val="Style Title"/>
    <w:basedOn w:val="23"/>
    <w:uiPriority w:val="0"/>
    <w:pPr>
      <w:pBdr>
        <w:bottom w:val="none" w:color="auto" w:sz="0" w:space="0"/>
      </w:pBdr>
      <w:suppressAutoHyphens w:val="0"/>
      <w:spacing w:after="0"/>
      <w:jc w:val="center"/>
    </w:pPr>
    <w:rPr>
      <w:rFonts w:ascii="Times New Roman" w:hAnsi="Times New Roman" w:cs="Arial"/>
      <w:b/>
      <w:bCs/>
      <w:color w:val="auto"/>
      <w:spacing w:val="0"/>
      <w:kern w:val="1"/>
      <w:sz w:val="24"/>
      <w:szCs w:val="32"/>
      <w:lang w:eastAsia="ar-SA"/>
    </w:rPr>
  </w:style>
  <w:style w:type="paragraph" w:customStyle="1" w:styleId="30">
    <w:name w:val="Author"/>
    <w:basedOn w:val="1"/>
    <w:uiPriority w:val="0"/>
    <w:pPr>
      <w:jc w:val="center"/>
    </w:pPr>
    <w:rPr>
      <w:b/>
    </w:rPr>
  </w:style>
  <w:style w:type="paragraph" w:customStyle="1" w:styleId="31">
    <w:name w:val="Abstract Title"/>
    <w:basedOn w:val="1"/>
    <w:uiPriority w:val="0"/>
    <w:pPr>
      <w:jc w:val="center"/>
    </w:pPr>
    <w:rPr>
      <w:b/>
      <w:sz w:val="20"/>
      <w:szCs w:val="20"/>
    </w:rPr>
  </w:style>
  <w:style w:type="character" w:customStyle="1" w:styleId="32">
    <w:name w:val="Title Char"/>
    <w:uiPriority w:val="0"/>
    <w:rPr>
      <w:rFonts w:ascii="Cambria" w:hAnsi="Cambria" w:eastAsia="Times New Roman" w:cs="Times New Roman"/>
      <w:color w:val="17365D"/>
      <w:spacing w:val="5"/>
      <w:w w:val="100"/>
      <w:kern w:val="28"/>
      <w:position w:val="-1"/>
      <w:sz w:val="52"/>
      <w:szCs w:val="52"/>
      <w:vertAlign w:val="baseline"/>
      <w:cs w:val="0"/>
    </w:rPr>
  </w:style>
  <w:style w:type="character" w:customStyle="1" w:styleId="33">
    <w:name w:val="Balloon Text Char"/>
    <w:uiPriority w:val="0"/>
    <w:rPr>
      <w:rFonts w:ascii="Tahoma" w:hAnsi="Tahoma" w:eastAsia="Times New Roman" w:cs="Tahoma"/>
      <w:w w:val="100"/>
      <w:position w:val="-1"/>
      <w:sz w:val="16"/>
      <w:szCs w:val="16"/>
      <w:vertAlign w:val="baseline"/>
      <w:cs w:val="0"/>
    </w:rPr>
  </w:style>
  <w:style w:type="paragraph" w:styleId="34">
    <w:name w:val="List Paragraph"/>
    <w:basedOn w:val="1"/>
    <w:qFormat/>
    <w:uiPriority w:val="99"/>
    <w:pPr>
      <w:spacing w:after="200" w:line="276" w:lineRule="auto"/>
      <w:ind w:left="720"/>
      <w:contextualSpacing/>
    </w:pPr>
    <w:rPr>
      <w:rFonts w:ascii="Calibri" w:hAnsi="Calibri" w:eastAsia="Calibri" w:cs="Arial"/>
      <w:sz w:val="22"/>
      <w:szCs w:val="22"/>
    </w:rPr>
  </w:style>
  <w:style w:type="character" w:customStyle="1" w:styleId="35">
    <w:name w:val="List Paragraph Char"/>
    <w:qFormat/>
    <w:uiPriority w:val="1"/>
    <w:rPr>
      <w:w w:val="100"/>
      <w:position w:val="-1"/>
      <w:vertAlign w:val="baseline"/>
      <w:cs w:val="0"/>
      <w:lang w:val="id-ID"/>
    </w:rPr>
  </w:style>
  <w:style w:type="character" w:customStyle="1" w:styleId="36">
    <w:name w:val="Header Char"/>
    <w:uiPriority w:val="0"/>
    <w:rPr>
      <w:w w:val="100"/>
      <w:position w:val="-1"/>
      <w:sz w:val="22"/>
      <w:szCs w:val="22"/>
      <w:vertAlign w:val="baseline"/>
      <w:cs w:val="0"/>
      <w:lang w:eastAsia="en-US"/>
    </w:rPr>
  </w:style>
  <w:style w:type="paragraph" w:customStyle="1" w:styleId="37">
    <w:name w:val="1"/>
    <w:basedOn w:val="1"/>
    <w:uiPriority w:val="0"/>
    <w:pPr>
      <w:suppressAutoHyphens w:val="0"/>
      <w:spacing w:before="120" w:after="120" w:line="360" w:lineRule="auto"/>
      <w:ind w:left="680" w:hanging="680"/>
      <w:jc w:val="both"/>
    </w:pPr>
    <w:rPr>
      <w:rFonts w:ascii="Arial" w:hAnsi="Arial" w:cs="Arial"/>
      <w:b/>
      <w:lang w:val="it-IT" w:eastAsia="ar-SA"/>
    </w:rPr>
  </w:style>
  <w:style w:type="character" w:customStyle="1" w:styleId="38">
    <w:name w:val="Footer Char"/>
    <w:uiPriority w:val="0"/>
    <w:rPr>
      <w:rFonts w:ascii="Times New Roman" w:hAnsi="Times New Roman" w:eastAsia="Times New Roman" w:cs="Times New Roman"/>
      <w:w w:val="100"/>
      <w:position w:val="-1"/>
      <w:sz w:val="24"/>
      <w:szCs w:val="24"/>
      <w:vertAlign w:val="baseline"/>
      <w:cs w:val="0"/>
      <w:lang w:val="en-US" w:eastAsia="en-US"/>
    </w:rPr>
  </w:style>
  <w:style w:type="paragraph" w:customStyle="1" w:styleId="39">
    <w:name w:val="JW_3.1_text"/>
    <w:uiPriority w:val="0"/>
    <w:pPr>
      <w:suppressAutoHyphens/>
      <w:adjustRightInd w:val="0"/>
      <w:spacing w:line="260" w:lineRule="atLeast"/>
      <w:ind w:left="-1" w:leftChars="-1" w:hanging="1" w:hangingChars="1"/>
      <w:jc w:val="both"/>
      <w:textAlignment w:val="top"/>
      <w:outlineLvl w:val="0"/>
    </w:pPr>
    <w:rPr>
      <w:rFonts w:ascii="Palatino Linotype" w:hAnsi="Palatino Linotype" w:eastAsia="Times New Roman" w:cs="Times New Roman"/>
      <w:color w:val="000000"/>
      <w:position w:val="-1"/>
      <w:sz w:val="24"/>
      <w:szCs w:val="22"/>
      <w:lang w:val="en-US" w:eastAsia="de-DE" w:bidi="en-US"/>
    </w:rPr>
  </w:style>
  <w:style w:type="paragraph" w:customStyle="1" w:styleId="40">
    <w:name w:val="JW_3.3_text_space_after"/>
    <w:basedOn w:val="39"/>
    <w:uiPriority w:val="0"/>
    <w:pPr>
      <w:spacing w:after="240"/>
    </w:pPr>
  </w:style>
  <w:style w:type="paragraph" w:customStyle="1" w:styleId="41">
    <w:name w:val="JW_3.4_text_space_before"/>
    <w:basedOn w:val="39"/>
    <w:uiPriority w:val="0"/>
    <w:pPr>
      <w:spacing w:before="240"/>
    </w:pPr>
  </w:style>
  <w:style w:type="paragraph" w:customStyle="1" w:styleId="42">
    <w:name w:val="JW_3.9_equation"/>
    <w:basedOn w:val="39"/>
    <w:uiPriority w:val="0"/>
    <w:pPr>
      <w:spacing w:before="120" w:after="120"/>
      <w:ind w:left="709" w:firstLine="0"/>
      <w:jc w:val="center"/>
    </w:pPr>
  </w:style>
  <w:style w:type="paragraph" w:customStyle="1" w:styleId="43">
    <w:name w:val="JW_3.a_equation_number"/>
    <w:basedOn w:val="39"/>
    <w:uiPriority w:val="0"/>
    <w:pPr>
      <w:spacing w:before="120" w:after="120" w:line="240" w:lineRule="auto"/>
      <w:ind w:firstLine="0"/>
      <w:jc w:val="right"/>
    </w:pPr>
  </w:style>
  <w:style w:type="paragraph" w:customStyle="1" w:styleId="44">
    <w:name w:val="JW_8.1_Quote"/>
    <w:basedOn w:val="1"/>
    <w:uiPriority w:val="0"/>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45">
    <w:name w:val="JW_2.2_heading2"/>
    <w:basedOn w:val="1"/>
    <w:uiPriority w:val="0"/>
    <w:pPr>
      <w:overflowPunct w:val="0"/>
      <w:autoSpaceDE w:val="0"/>
      <w:autoSpaceDN w:val="0"/>
      <w:adjustRightInd w:val="0"/>
      <w:spacing w:before="240" w:after="120" w:line="260" w:lineRule="atLeast"/>
      <w:outlineLvl w:val="1"/>
    </w:pPr>
    <w:rPr>
      <w:rFonts w:ascii="Palatino Linotype" w:hAnsi="Palatino Linotype"/>
      <w:i/>
      <w:color w:val="000000"/>
      <w:sz w:val="20"/>
      <w:szCs w:val="22"/>
      <w:lang w:bidi="en-US"/>
    </w:rPr>
  </w:style>
  <w:style w:type="character" w:customStyle="1" w:styleId="46">
    <w:name w:val="Unresolved Mention"/>
    <w:qFormat/>
    <w:uiPriority w:val="0"/>
    <w:rPr>
      <w:color w:val="605E5C"/>
      <w:w w:val="100"/>
      <w:position w:val="-1"/>
      <w:shd w:val="clear" w:color="auto" w:fill="E1DFDD"/>
      <w:vertAlign w:val="baseline"/>
      <w:cs w:val="0"/>
    </w:rPr>
  </w:style>
  <w:style w:type="paragraph" w:customStyle="1" w:styleId="47">
    <w:name w:val="No Spacing;JUDUL +"/>
    <w:basedOn w:val="1"/>
    <w:next w:val="1"/>
    <w:uiPriority w:val="0"/>
    <w:pPr>
      <w:suppressAutoHyphens w:val="0"/>
    </w:pPr>
    <w:rPr>
      <w:rFonts w:ascii="Arno Pro" w:hAnsi="Arno Pro" w:eastAsia="Calibri"/>
      <w:b/>
      <w:bCs/>
      <w:i/>
      <w:caps/>
      <w:sz w:val="26"/>
      <w:szCs w:val="20"/>
    </w:rPr>
  </w:style>
  <w:style w:type="table" w:customStyle="1" w:styleId="48">
    <w:name w:val="_Style 43"/>
    <w:basedOn w:val="9"/>
    <w:uiPriority w:val="0"/>
    <w:tblPr>
      <w:tblCellMar>
        <w:top w:w="0" w:type="dxa"/>
        <w:left w:w="108" w:type="dxa"/>
        <w:bottom w:w="0" w:type="dxa"/>
        <w:right w:w="108" w:type="dxa"/>
      </w:tblCellMar>
    </w:tblPr>
  </w:style>
  <w:style w:type="table" w:customStyle="1" w:styleId="49">
    <w:name w:val="_Style 44"/>
    <w:basedOn w:val="9"/>
    <w:uiPriority w:val="0"/>
    <w:tblPr>
      <w:tblCellMar>
        <w:top w:w="0" w:type="dxa"/>
        <w:left w:w="0" w:type="dxa"/>
        <w:bottom w:w="0" w:type="dxa"/>
        <w:right w:w="0" w:type="dxa"/>
      </w:tblCellMar>
    </w:tblPr>
  </w:style>
  <w:style w:type="table" w:customStyle="1" w:styleId="50">
    <w:name w:val="_Style 45"/>
    <w:basedOn w:val="9"/>
    <w:uiPriority w:val="0"/>
    <w:tblPr>
      <w:tblCellMar>
        <w:top w:w="0" w:type="dxa"/>
        <w:left w:w="108" w:type="dxa"/>
        <w:bottom w:w="0" w:type="dxa"/>
        <w:right w:w="108" w:type="dxa"/>
      </w:tblCellMar>
    </w:tblPr>
  </w:style>
  <w:style w:type="table" w:customStyle="1" w:styleId="51">
    <w:name w:val="_Style 46"/>
    <w:basedOn w:val="9"/>
    <w:uiPriority w:val="0"/>
    <w:tblPr>
      <w:tblCellMar>
        <w:top w:w="0" w:type="dxa"/>
        <w:left w:w="108" w:type="dxa"/>
        <w:bottom w:w="0" w:type="dxa"/>
        <w:right w:w="108" w:type="dxa"/>
      </w:tblCellMar>
    </w:tblPr>
  </w:style>
  <w:style w:type="character" w:customStyle="1" w:styleId="52">
    <w:name w:val="HTML Preformatted Char"/>
    <w:basedOn w:val="8"/>
    <w:link w:val="18"/>
    <w:uiPriority w:val="99"/>
    <w:rPr>
      <w:rFonts w:ascii="Courier New" w:hAnsi="Courier New" w:cs="Courier New"/>
      <w:sz w:val="20"/>
      <w:szCs w:val="20"/>
      <w:lang w:eastAsia="en-US"/>
    </w:rPr>
  </w:style>
  <w:style w:type="character" w:customStyle="1" w:styleId="53">
    <w:name w:val="y2iqfc"/>
    <w:basedOn w:val="8"/>
    <w:uiPriority w:val="0"/>
  </w:style>
  <w:style w:type="paragraph" w:customStyle="1" w:styleId="54">
    <w:name w:val="Defaul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character" w:customStyle="1" w:styleId="55">
    <w:name w:val="Body Text Char"/>
    <w:basedOn w:val="8"/>
    <w:link w:val="11"/>
    <w:semiHidden/>
    <w:uiPriority w:val="99"/>
    <w:rPr>
      <w:position w:val="-1"/>
      <w:lang w:val="id-ID" w:eastAsia="en-US"/>
    </w:rPr>
  </w:style>
  <w:style w:type="paragraph" w:styleId="56">
    <w:name w:val="No Spacing"/>
    <w:qFormat/>
    <w:uiPriority w:val="1"/>
    <w:rPr>
      <w:rFonts w:ascii="Calibri" w:hAnsi="Calibri" w:eastAsia="Calibri" w:cs="SimSu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3236</Words>
  <Characters>18447</Characters>
  <Lines>153</Lines>
  <Paragraphs>43</Paragraphs>
  <TotalTime>2</TotalTime>
  <ScaleCrop>false</ScaleCrop>
  <LinksUpToDate>false</LinksUpToDate>
  <CharactersWithSpaces>21640</CharactersWithSpaces>
  <Application>WPS Office_11.2.0.11225_F1E327BC-269C-435d-A152-05C5408002CA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2024-03-15T07:45:00Z</dcterms:created>
  <dc:creator>COMPUTER</dc:creator>
  <cp:lastModifiedBy>Arnanda Reza P</cp:lastModifiedBy>
  <dcterms:modified xsi:type="dcterms:W3CDTF">2024-03-30T03:24:52Z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5e35e2b6-d500-3367-a486-184ea689d8e6</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https://csl.mendeley.com/styles/475823531/apa</vt:lpwstr>
  </property>
  <property fmtid="{D5CDD505-2E9C-101B-9397-08002B2CF9AE}" pid="10" name="Mendeley Recent Style Name 2_1">
    <vt:lpwstr>American Psychological Association 6th edition - Mincho Slavov</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http://www.zotero.org/styles/american-sociological-association</vt:lpwstr>
  </property>
  <property fmtid="{D5CDD505-2E9C-101B-9397-08002B2CF9AE}" pid="14" name="Mendeley Recent Style Name 4_1">
    <vt:lpwstr>American Sociological Association</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17th edition (author-date)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KSOProductBuildVer">
    <vt:lpwstr>1033-11.2.0.11225</vt:lpwstr>
  </property>
  <property fmtid="{D5CDD505-2E9C-101B-9397-08002B2CF9AE}" pid="26" name="ICV">
    <vt:lpwstr>EAEC0737F5FC47F8A579964B5BC8FCAE</vt:lpwstr>
  </property>
</Properties>
</file>